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https://www.autoritedelaconcurrence.fr/fr/decision-de-controle-des-concentrations/relative-la-creation-dune-societe-de-groupe-dassurance-0</w:t>
      </w:r>
    </w:p>
    <w:p>
      <w:r>
        <w:t>Pages translated : 6</w:t>
      </w:r>
    </w:p>
    <w:p/>
    <w:p>
      <w:r>
        <w:rPr>
          <w:b/>
        </w:rPr>
        <w:t>[Pages 1–3]</w:t>
      </w:r>
    </w:p>
    <w:p>
      <w:r>
        <w:t xml:space="preserve">FRENCH REPUBLIC  </w:t>
        <w:br/>
        <w:t xml:space="preserve">Decision No. 15-DCC-16 of February 25, 2015  </w:t>
        <w:br/>
        <w:t xml:space="preserve">regarding the creation of a Mutual Insurance Group Company  </w:t>
        <w:br/>
        <w:t xml:space="preserve">(“SGAM”) by the La Mutuelle Générale Group and the Malakoff Médéric Group  </w:t>
        <w:br/>
        <w:t xml:space="preserve">The Competition Authority,  </w:t>
        <w:br/>
        <w:t xml:space="preserve">Having regard to the notification file submitted in full to the concentrations service on January 23, 2015, concerning the merger between the La Mutuelle Générale Group and the Malakoff Médéric Group, formalized by a merger protocol dated January 22, 2015;  </w:t>
        <w:br/>
        <w:t xml:space="preserve">Having regard to Book IV of the Commercial Code relating to price freedom and competition, and in particular its Articles L. 430-1 to L. 430-7;  </w:t>
        <w:br/>
        <w:t xml:space="preserve">Adopts the following decision:  </w:t>
        <w:br/>
        <w:t xml:space="preserve">I. The companies concerned and the operation  </w:t>
        <w:br/>
        <w:t xml:space="preserve">1. The Malakoff Médéric Group is a non-profit social protection group, mutual and paritarian, composed of various entities and at the head of subsidiaries active notably in the fields of provident insurance, personal insurance, and portfolio management. The group is thus present in the sectors of managing supplementary pensions and personal insurance.  </w:t>
        <w:br/>
        <w:t xml:space="preserve">2. The La Mutuelle Générale Group consists of the entities La Mutuelle Générale (hereinafter “LMG”), MG Union, Mutaris Caution, MG Services, and Taores. The La Mutuelle Générale Group also exercises joint control, with La Banque Postale, over the company La Banque Postale Assurance Santé (hereinafter “LBPAS”), active in the field of health insurance. The La Mutuelle Générale Group is primarily present in the personal insurance sector.  </w:t>
        <w:br/>
        <w:t xml:space="preserve">3. Under the merger protocol dated January 22, 2015, the operation will consist of the establishment of a Mutual Insurance Group Company (“SGAM”), to which the various entities of the parties will be affiliated, whose activities will be reorganized around two poles: a mutual group union (“UGM”) and a paritarian provident grouping (“GPP”). The creation of the SGAM, as well as the planned reorganizations, will establish links of financial solidarity and combination between the La Mutuelle Générale Group and the Malakoff Médéric Group.  </w:t>
        <w:br/>
        <w:t xml:space="preserve">4. SGAMs are a legal form of company introduced by Ordinance No. 2001-767 of August 29, 2001, in the Insurance Code, implementing in French law the Community Directive of October 27, 1998, concerning the supervision of insurance undertakings that are part of an insurance group.  </w:t>
        <w:br/>
        <w:t xml:space="preserve">5. According to the provisions of Article L. 322-1-2 of the Insurance Code, an SGAM is a company whose main activity consists of (i) "taking and managing holdings within the meaning of 2º of Article L. 334-2 in companies subject to State control pursuant to Article L. 310-1 or Article L. 310-1-1, or in insurance or reinsurance companies whose registered office is located outside France" or (ii) "establishing and managing significant and lasting financial solidarity links with mutuals or unions governed by Book II of the Mutuality Code, provident institutions or unions governed by Title III of Book IX of the Social Security Code, mutual insurance companies governed by the Insurance Code, or insurance or reinsurance companies in mutual or cooperative form or under paritarian management having their registered office in a Member State of the European Community or in another State party to the agreement on the European Economic Area." Article L. 322-1-3 of the same code specifies that when the SGAM maintains significant and lasting financial solidarity links that do not result from financial holdings with mutuals, provident institutions, or mutual insurance companies, these links are defined by an affiliation agreement and the company may be designated as SGAM.  </w:t>
        <w:br/>
        <w:t xml:space="preserve">6. In this case, the merger protocol signed between the parties on January 22, 2015, provides that the SGAM will be responsible, in particular, for defining the group's strategy in terms of insurance, social action, and services. The merger protocol also provides for the combination of the accounts of the affiliated companies as well as a two-tier financial solidarity system (prevention mechanism followed by aid mechanism) for the benefit of the affiliated companies. Finally, the human, commercial, and management resources, as well as the information systems and support functions of the parties will be pooled within a unified structure whose budget will be under the control of the general director of the SGAM.  </w:t>
        <w:br/>
        <w:t xml:space="preserve">7. The SGAM will be governed by a board of directors composed of […] members divided into […] colleges ([confidential]), each composed of […] directors elected by the general assembly. Within the general assembly, the Malakoff Médéric Group will have […] % of the votes and the La Mutuelle Générale Group will have […] % of the votes.  </w:t>
        <w:br/>
        <w:t xml:space="preserve">8. Given all these elements, the establishment of the SGAM is analyzed as the combination of activities of previously independent companies within a single economic entity, endowed with a unique and lasting economic management power, which will be exclusively controlled by the Malakoff Médéric group. Consequently, this operation constitutes a concentration within the meaning of Article L. 430-1 of the Commercial Code.  </w:t>
        <w:br/>
        <w:t xml:space="preserve">9. The companies concerned together achieve a total worldwide turnover excluding tax of more than 150 million euros (La Mutuelle Générale Group: 1.08 billion euros for the fiscal year ending December 31, 2013; Malakoff Médéric Group: 3.5 billion euros for the same fiscal year). Each of these companies has achieved a turnover in France exceeding 50 million euros (La Mutuelle Générale Group: 1.08 billion euros for the fiscal year ending December 31, 2013; Malakoff Médéric Group: 3.5 billion euros for the same fiscal year). Given these turnovers,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Definition of Relevant Markets  </w:t>
        <w:br/>
        <w:t xml:space="preserve">10. The parties to the operation are simultaneously active in the insurance sector.  </w:t>
        <w:br/>
        <w:t xml:space="preserve">A. THE UPSTREAM MARKETS FOR INSURANCE PRODUCTS  </w:t>
        <w:br/>
        <w:t xml:space="preserve">11. Within the insurance sector, decision-making practice consistently distinguishes between personal insurance and property and liability insurance, each of which can in turn be segmented into as many markets as there are insurances covering different types of risks, insofar as, from the demand perspective, insurances covering these different risks are not substitutable. Regarding the market for personal insurance, further segmentation can be made between collective insurance contracts, concluded between an insurer and a subscriber distinct from the beneficiary, and individual insurance contracts where the subscriber is also the beneficiary.  </w:t>
        <w:br/>
        <w:t xml:space="preserve">12. In this case, the parties to the operation are simultaneously active in personal insurance. The parties have identified the following segments where their activities overlap:  </w:t>
        <w:br/>
        <w:t>- the provident market which includes insurance products intended to cover beneficiaries against an unpredictable loss of income (in the event of death, disability...</w:t>
      </w:r>
    </w:p>
    <w:p>
      <w:r>
        <w:rPr>
          <w:b/>
        </w:rPr>
        <w:t>[Pages 4–6]</w:t>
      </w:r>
    </w:p>
    <w:p>
      <w:r>
        <w:t>or incapacity) by means of a payment in the form of a lump sum or an annuity.</w:t>
      </w:r>
    </w:p>
    <w:p>
      <w:r>
        <w:t xml:space="preserve">The parties are active in the individual and group insurance markets;  </w:t>
        <w:br/>
        <w:t>- the supplementary health insurance market, which includes insurance products guaranteeing beneficiaries in the event of illness, accident, or maternity and aims to provide insured persons with additional coverage for health expenses. The parties are active in the individual and group supplementary health insurance markets.</w:t>
      </w:r>
    </w:p>
    <w:p>
      <w:r>
        <w:t>13. With the exception of certain insurances covering large-scale risks, decision-making practice considers that insurance markets are national in scope given consumer preferences, the existence of legislation, and national tax constraints, the current structure of these markets, or the regulatory systems concerning this sector of activities.</w:t>
      </w:r>
    </w:p>
    <w:p>
      <w:r>
        <w:t>14. There is no need to challenge these delimitations to analyze the effects of the present operation, and the question of the delimitation of the markets will be left open because, regardless of the delimitations retained, the conclusions of the competitive analysis will not be affected.</w:t>
      </w:r>
    </w:p>
    <w:p>
      <w:r>
        <w:t xml:space="preserve">1. THE DOWNSTREAM MARKETS FOR DISTRIBUTION OF INSURANCE PRODUCTS  </w:t>
        <w:br/>
        <w:t>15. The distribution of insurance products consists of marketing and ensuring the administrative management of the guarantees or insurance contracts whose risk is borne by third-party insurers. The competition authorities, both European and national, have left the question of the precise delimitation of the markets in this sector open, with several segmentations being considered.</w:t>
      </w:r>
    </w:p>
    <w:p>
      <w:r>
        <w:t>16. Decision-making practice has thus considered a broad market for the distribution of insurance products by independent intermediaries, including all distribution channels: agents, brokers, and other intermediaries (including banks), except for direct distribution by insurance companies. The practice has also considered a narrower market for insurance brokerage, including only this distribution channel.</w:t>
      </w:r>
    </w:p>
    <w:p>
      <w:r>
        <w:t>17. Finally, the markets for the distribution of insurance products can also be segmented based on the category of insured risks (property insurance and personal insurance) and according to the clientele (businesses or individuals).</w:t>
      </w:r>
    </w:p>
    <w:p>
      <w:r>
        <w:t>18. In this case, the parties are simultaneously active in the market for the distribution of insurance products on behalf of third parties.</w:t>
      </w:r>
    </w:p>
    <w:p>
      <w:r>
        <w:t xml:space="preserve">5 See in particular the decisions of the Authority No. 11-DCC-97 mentioned above and No. 12-DCC-11 of August 3, 2012, concerning the merger by absorption of the mutuals Harmonie Mutualité, Mutuelle Existence, Prévadiès, Santévie, Santévie MP, and Spheria Val-de-France by Harmonie Mutuelle.  </w:t>
        <w:br/>
        <w:t xml:space="preserve">6 See in particular decision No. 10-DCC-52 mentioned above.  </w:t>
        <w:br/>
        <w:t xml:space="preserve">7 See in particular the letter from the Minister of Economy C2008-77 of October 28, 2008, to the boards of the mutual company Harmonie Mutualité and the decision of the Competition Authority No. 10-DCC-138 of October 19, 2010, concerning the exclusive control of MFPrévoyance by CNP assurances.  </w:t>
        <w:br/>
        <w:t xml:space="preserve">8 See in particular the letter from the Minister C2008-77 mentioned above, the decision of the Authority No. 10-DCC-138 mentioned above, and the decision of the Competition Authority No. 13-DCC-126 of September 5, 2013, concerning the acquisition of control of the company Sofaxis by the mutual insurance company Sham.  </w:t>
        <w:br/>
        <w:t>9 See in particular decision No. 12-DCC-111 mentioned above.</w:t>
      </w:r>
    </w:p>
    <w:p>
      <w:r>
        <w:t>19. The distribution of insurance products has been considered essentially as being of national scope.</w:t>
      </w:r>
    </w:p>
    <w:p>
      <w:r>
        <w:t>20. There is no need to challenge these delimitations in the context of the present operation, and the question of the exact delimitation of the markets for the distribution of insurance products will be left open insofar as, regardless of the delimitation retained, the conclusions of the competitive analysis remain unchanged.</w:t>
      </w:r>
    </w:p>
    <w:p>
      <w:r>
        <w:t xml:space="preserve">III. Competitive Analysis  </w:t>
        <w:br/>
        <w:t xml:space="preserve">21. The markets for personal insurance are highly fragmented, with 305 insurance companies, 43 provident institutions, and 582 mutuals or unions of approved mutuals recorded in 2014. In total, in each of the insurance markets concerned by the present operation, the market share of the new entity will be less than [10-20]%:  </w:t>
        <w:br/>
        <w:t xml:space="preserve">Malakoff Médéric La Mutuelle Générale New entity  </w:t>
        <w:br/>
        <w:t xml:space="preserve">Individual provident [0-5]% [0-5]% [0-5]%  </w:t>
        <w:br/>
        <w:t xml:space="preserve">Collective provident [10-20]% [0-5]% [10-20]%  </w:t>
        <w:br/>
        <w:t xml:space="preserve">Individual supplementary health insurance [0-5]% [0-5]% [0-5]%  </w:t>
        <w:br/>
        <w:t xml:space="preserve">Collective supplementary health insurance [5-10]% [0-5]% [10-20]%  </w:t>
        <w:br/>
        <w:t>Distribution of insurance products on behalf of third parties [0-5]% [0-5]% [0-5]%</w:t>
      </w:r>
    </w:p>
    <w:p>
      <w:r>
        <w:t>22. In these markets, the new entity will continue to face competition from numerous groups such as Axa, AG2R La Mondiale, and Groupama.</w:t>
      </w:r>
    </w:p>
    <w:p>
      <w:r>
        <w:t>23. Given the positions that the new entity will hold, the operation is not likely to harm competition in the various markets of the insurance sector, whether through horizontal or vertical effects.</w:t>
      </w:r>
    </w:p>
    <w:p>
      <w:r>
        <w:t>10 Ibid.</w:t>
      </w:r>
    </w:p>
    <w:p>
      <w:r>
        <w:t xml:space="preserve">DECIDES  </w:t>
        <w:br/>
        <w:t xml:space="preserve">Article unique: The operation notified under number 14-187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