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https://www.autoritedelaconcurrence.fr/fr/decision-de-controle-des-concentrations/relative-la-creation-dune-union-mutualiste-de-groupe-par-0</w:t>
      </w:r>
    </w:p>
    <w:p>
      <w:r>
        <w:t>Pages translated : 7</w:t>
      </w:r>
    </w:p>
    <w:p/>
    <w:p>
      <w:r>
        <w:rPr>
          <w:b/>
        </w:rPr>
        <w:t>[Pages 1–3]</w:t>
      </w:r>
    </w:p>
    <w:p>
      <w:r>
        <w:t>FRENCH REPUBLIC</w:t>
        <w:br/>
        <w:t>Decision No. 16-DCC-70 of May 13, 2016</w:t>
        <w:br/>
        <w:t>regarding the creation of a mutual group union by the</w:t>
        <w:br/>
        <w:t>mutuals Adréa, Apréva, and Eovi-Mcd</w:t>
        <w:br/>
        <w:t>The Competition Authority,</w:t>
        <w:br/>
        <w:t>Having regard to the notification file submitted in full to the concentrations service on April 12, 2016,</w:t>
        <w:br/>
        <w:t>regarding the creation of a mutual group union by the mutuals Adréa, Apréva, and</w:t>
        <w:br/>
        <w:t>Eovi-Mcd, formalized by a draft statute and affiliation agreement, approved during their general assemblies on December 16, 17, and 18, 2015;</w:t>
        <w:br/>
        <w:t>Having regard to Book IV of the Commercial Code relating to price freedom and competition, and</w:t>
        <w:br/>
        <w:t>notably its Articles L. 430-1 to L. 430-7;</w:t>
        <w:br/>
        <w:t>Adopts the following decision:</w:t>
        <w:br/>
        <w:t>I. The concerned companies and the operation</w:t>
        <w:br/>
        <w:t>1. The mutual Adréa (hereinafter "Adréa") provides individual and collective insurance benefits in the areas of accidents, illness, life and death, and marriage and birth. It is also involved in the sectors of reinsurance and the distribution of insurance products on behalf of third parties. It notably controls two territorial unions of the National Federation of French Mutuality (hereinafter "FNMF") managing mutual care and support services ("SSAM") in the departments of Ain (01) and Allier (03).</w:t>
        <w:br/>
        <w:t>2. The mutual Apréva (hereinafter "Apréva") provides individual and collective insurance benefits in the areas of accidents, illness, life and death, and marriage and birth. It is also involved in the sectors of reinsurance and the distribution of insurance products on behalf of third parties. Apréva notably controls entities managing SSAM in the department of Nord (59).</w:t>
        <w:br/>
        <w:t>3. The mutual Eovi-Mcd (hereinafter "Eovi-Mcd") is the result of the merger of the National Mutual Mcd and Eovi Mutual1. Eovi-Mcd provides individual and collective insurance benefits in the areas of accidents, illness, life and death, and marriage and birth. It is also active in the sectors of reinsurance and the distribution of insurance products on behalf of third parties. Eovi-Mcd controls several mutual unions: Eovi Services et Soins, Eovi Handicap, Eovi Réalisations Mutualistes, Eovi-Usmar, and Eovi mutual network of care, as well as certain unions of the FNMF2. These mutual unions manage SSAMs, including notably dental offices, optical centers, hearing centers, as well as personal service establishments and accommodation for disabled and elderly persons ("EHPAD"), in the departments of Ardèche (07), Creuse (23), Drôme (26), Hérault (34), Loire (42), Haute-Loire (43), Pyrénées Orientales (66), Rhône (69), Vaucluse (84), and Haute-Vienne (87).</w:t>
        <w:br/>
        <w:t>4. The notifying parties plan to establish a mutual group union (hereinafter "UMG") in order to create financial solidarity links between them and to gather the means, resources, and organizations necessary for the implementation of joint projects.</w:t>
        <w:br/>
        <w:t>5. UMGs are a legal form of enterprise introduced by Law No. 2008-776 of August 4, 2008, in the Mutuality Code. According to the provisions of Article L. 111-4-2 of this code, a UMG is an enterprise whose main activity consists of "taking and managing stakes, within the meaning of 10° of Article L. 310-3 of the Insurance Code, in enterprises mentioned in Articles L. 310-1 or L. 310-1-1 of the Insurance Code, or in insurance or reinsurance companies whose registered office is located outside France, or establishing and managing strong and lasting financial relationships with mutuals or unions governed by Book II [of the Mutuality Code], provident institutions or unions governed by Title III of Book IX of the Social Security Code, mutual insurance companies governed by the Insurance Code, or insurance or reinsurance companies in mutual or cooperative form or with joint management having their registered office in a Member State of the European Union or in another State party to the agreement on the European Economic Area." The same Article L. 111-4-2 adds that "when the UMG has, with an affiliated organization, strong and lasting financial relationships that do not result from stakes within the meaning of 10° of Article L. 310-3 of the Insurance Code, these relationships are defined by an affiliation agreement."</w:t>
        <w:br/>
        <w:t>6. In this case, the draft affiliation agreement3 provides for a risk management system for the UMG in accordance with Articles L. 356-18 and following of the Insurance Code, which will cover: underwriting and provisioning, asset and liability management, investments, liquidity and concentration risk management, operational risk management, and risk mitigation or sharing techniques such as reinsurance.</w:t>
        <w:br/>
        <w:t>7. The draft statutes and affiliation agreement of the UMG also provide for a financial solidarity mechanism with its affiliated companies, implemented by the board of directors of the UMG.</w:t>
        <w:br/>
        <w:t>8. The draft affiliation agreement also provides that the UMG will aim to define and coordinate strategic orientations among its members. Specifically, the affiliated companies will be required to seek the authorization of the board of directors of the UMG for a number of decisions likely to significantly affect their situation, such as [confidential]. Similarly, for any modifications concerning [confidential], the affiliated companies will be required to inform the UMG bodies in advance. In the event of non-compliance with these commitments by an affiliated member, the UMG will have the power to sanction.</w:t>
        <w:br/>
        <w:t>9. Furthermore, the UMG aims to gather the means and resources necessary for the implementation of joint projects and to undertake any action likely to contribute to the improvement of its affiliates' offerings.</w:t>
        <w:br/>
        <w:t>10. Finally, the draft statute of the UMG provides that its general assembly will be composed of at least [...] delegates with full rights for each member, with additional delegates being granted to each member based on their number of members. The general assembly will appoint, by simple majority, the members of the board of directors, with no member holding the majority of votes on the day of notification. It will also have the authority to make, by a qualified majority of two-thirds, decisions involving a modification of the statutes, a merger with another UMG or grouping, the exclusion of an affiliated member, borrowing with the agreement of the Prudential Control and Resolution Authority, and the dissolution of the UMG. The board of directors consists of [...] directors, each affiliated member is granted by right [...] % of the seats of directors, the remaining seats are distributed among the affiliated members in proportion to their number of members and the volume of their own funds. On the day of notification, Adréa would have [...] directors, Apréva [...] and Eovi-Mcd [...]. Subject to the powers exclusively reserved for the general assembly, the board of directors "makes all decisions it deems useful for the management and development of the UMG and ensures their implementation. It addresses any issue concerning the proper functioning of the UMG [...] and carries out the controls and verifications it deems appropriate." The board of directors adopts its decisions by a simple majority of members if [at least half*] of its members are present. At the current state, none of the three affiliated members is therefore in a position to impose a decision alone or to block the adoption of a decision by the other members. None of the mutuals therefore exerts a decisive influence on the UMG, in the sense of concentration law.</w:t>
        <w:br/>
        <w:t>11. Given these elements, the creation of the UMG is analyzed as the gathering of activities of previously independent companies within a single economic entity. Consequently, this operation constitutes a concentration within the meaning of Article L. 430-1 of the Commercial Code.</w:t>
        <w:br/>
        <w:t>12. The concerned companies have together achieved a total turnover excluding taxes on a global scale of more than 150 million euros (Adréa: [...] euros for the fiscal year ending December 31, 2014; Apréva: [...] euros for the same fiscal year; Eovi-Mcd: [...] euros for the same fiscal year). Each of these companies has achieved, in France, a turnover excluding taxes exceeding 50 million euros (Adréa: [...] euros for the fiscal year ending December 31, 2014; Apréva: [...] euros for the same fiscal year; Eovi-Mcd: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 Correction of material error.</w:t>
      </w:r>
    </w:p>
    <w:p>
      <w:r>
        <w:rPr>
          <w:b/>
        </w:rPr>
        <w:t>[Pages 4–6]</w:t>
      </w:r>
    </w:p>
    <w:p>
      <w:r>
        <w:t>II. Delimitation of Relevant Markets</w:t>
        <w:br/>
        <w:t>13. The notifying parties offer individual and collective insurance in the areas of supplementary health, provident insurance, as well as reinsurance and mutual care and support services. They also offer management and distribution services on behalf of third parties. Finally, they are simultaneously present in the upstream market of insurance "production" and in the downstream market of distributing insurance products on behalf of third parties.</w:t>
        <w:br/>
        <w:t>A. INSURANCE PRODUCT MARKETS</w:t>
        <w:br/>
        <w:t>14. The decision-making practice of competition authorities consistently distinguishes insurance activities from reinsurance activities.</w:t>
        <w:br/>
        <w:t>15. Insurance products are segmented between personal insurance and property and liability insurance, each of which can in turn be further segmented into as many markets as there are insurances covering different types of risks. Finally, additional segmentations have been considered within personal insurance between collective insurance contracts and individual insurance contracts, and within property and liability insurance, between insurance for individuals and insurance for professionals.</w:t>
        <w:br/>
        <w:t>16. Regarding the geographical delimitation of insurance product markets, with the exception of certain insurances covering large-scale risks, it is considered to be of national dimension given consumer preferences, the existence of national legislation and tax constraints, the current structure of these markets, and regulatory systems.</w:t>
        <w:br/>
        <w:t>B. THE REINSURANCE MARKET</w:t>
        <w:br/>
        <w:t>17. Reinsurance is a particular form of insurance whereby the reinsurer takes on all or part of the risks insured by the primary insurer. This mechanism allows primary insurers to increase the number of insured and to spread risks over time and across a wider geographical area.</w:t>
        <w:br/>
        <w:t>18. The European Commission considers that reinsurance constitutes a distinct market due to the specificity of its object (the distribution of risks among insurers) and the less stringent regulatory constraints on this activity. Within this market, property reinsurance has been distinguished from life reinsurance, and for each, potential additional segmentations may be considered based on the different categories of risks covered. A segmentation between life reinsurance and non-life reinsurance has also been considered.</w:t>
        <w:br/>
        <w:t>19. Decision-making practice considers that the reinsurance market is of global dimension, particularly given the distribution of risks at this level.</w:t>
        <w:br/>
        <w:t>C. MARKETS FOR THE DISTRIBUTION OF INSURANCE PRODUCTS ON BEHALF OF THIRD PARTIES</w:t>
        <w:br/>
        <w:t>20. The distribution of insurance products consists of marketing and ensuring the administrative management of guarantees or insurance contracts whose risk is borne by third-party insurers. Competition authorities have considered several segmentations of a market for the distribution of insurance products by independent intermediaries, including all distribution channels (agents, brokers, and other intermediaries such as banks), with the exception of direct distribution by insurance companies.</w:t>
        <w:br/>
        <w:t>21. The markets for the distribution of insurance products have thus been segmented based on the category of insured risks (property insurance and personal insurance) and according to the clientele (businesses or individuals).</w:t>
        <w:br/>
        <w:t>22. Regarding the geographical dimension of the markets for the distribution of insurance products, decision-making practice essentially considers them to be of national dimension.</w:t>
        <w:br/>
        <w:t>D. OTHER MARKETS FOR SERVICES UNDER THE HEALTH AND SOCIAL ACTION OF MUTUALS</w:t>
        <w:br/>
        <w:t>23. The mutual unions governed by Book III of the Mutuality Code controlled by the notifying parties are simultaneously active in the following health and social actions: services provided by dental surgeons and opticians and audioprothesists, long-term accommodation services for the elderly, home nursing care, and healthcare services in health establishments, as well as mutual pharmacies.</w:t>
        <w:br/>
        <w:t>24. Decision-making practice generally considers that the dimension of the service markets related to health and social achievements managed by entities under Book III of the Mutuality Code is local or regional.</w:t>
      </w:r>
    </w:p>
    <w:p>
      <w:r>
        <w:t>III. Competitive Analysis</w:t>
        <w:br/>
        <w:t>A. INSURANCE PRODUCT MARKETS</w:t>
        <w:br/>
        <w:t>25. The parties are simultaneously active in the markets for supplementary health insurance and collective and individual provident insurance.</w:t>
        <w:br/>
        <w:t>26. In the market for individual supplementary health insurance, the parties estimate that the combined market share of Adréa, Apréva, and Eovi-mcd will be [5-10]%, their competitors being the Istya group ([10-20]%), Union Harmonie Mutuelles ([5-10]%), and Groupama-Gan ([5-10]%).</w:t>
        <w:br/>
        <w:t>27. In the market for collective supplementary health insurance, their combined market share will be [0-5]%, their main competitors being the Humanis group ([5-10]%), the Malakoff-Médéric group ([5-10]%), and Axa ([5-10]%).</w:t>
        <w:br/>
        <w:t>28. In the market for individual provident insurance, the combined market share of the parties will be [0-5]%, their main competitors being Groupama-Gan ([10-20]%), Allianz ([10-20]%), and the Istya group ([5-10]%).</w:t>
        <w:br/>
        <w:t>29. In the market for collective provident insurance, the combined market share of the parties will be [0-5]%, their main competitors being the Malakoff-Médéric group ([10-20]%), Axa ([10-20]%), and Humanis ([10-20]%).</w:t>
        <w:br/>
        <w:t>30. Given these limited market shares, the operation is not likely to harm competition in the markets for supplementary health insurance and provident insurance.</w:t>
        <w:br/>
        <w:t>B. REINSURANCE MARKETS</w:t>
        <w:br/>
        <w:t>31. The parties are simultaneously active in the life reinsurance market, where the combined market share of the parties will be less than [0-5]%.</w:t>
        <w:br/>
        <w:t>32. Given this market share, the operation is not likely to harm competition in the life reinsurance market.</w:t>
        <w:br/>
        <w:t>C. MARKETS FOR THE DISTRIBUTION OF INSURANCE PRODUCTS ON BEHALF OF THIRD PARTIES</w:t>
        <w:br/>
        <w:t>33. Within the overall market for the distribution and management of insurance products on behalf of third parties, the activities of the parties overlap in the segment of distribution and management on behalf of third-party insurers of provident products.</w:t>
        <w:br/>
        <w:t>34. Due to insufficient data, the parties have not been able to accurately assess the market share of the new entity in the provident segment. However, they estimate that the combined market share of Adréa, Apréva, and Eovi-Mcd in the overall market for the distribution of insurance products on behalf of third parties is less than [0-5]%.</w:t>
        <w:br/>
        <w:t>35. Given this market share, the operation is not likely to harm competition in the markets for the distribution of insurance products on behalf of third parties.</w:t>
      </w:r>
    </w:p>
    <w:p>
      <w:r>
        <w:rPr>
          <w:b/>
        </w:rPr>
        <w:t>[Pages 7–7]</w:t>
      </w:r>
    </w:p>
    <w:p>
      <w:r>
        <w:t>D. OTHER MARKETS FOR HEALTH AND SOCIAL ACTION SERVICES OF MUTUALS</w:t>
        <w:br/>
        <w:t>36. At the local level, the activities of the parties do not overlap, as they are active in different departments. The only overlap in activity is in the former Rhône-Alpes region, in the market for home nursing services.</w:t>
        <w:br/>
        <w:t>37. In this market, the parties estimate that the new entity will hold a market share of less than [5-10]%, where it will face numerous competitors.</w:t>
        <w:br/>
        <w:t>38. Given this market share, the operation is not likely to harm competition in the markets for mutual care and support services.</w:t>
        <w:br/>
        <w:t>DECIDES</w:t>
        <w:br/>
        <w:t>Sole Article: The operation notified under number 16-034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