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https://www.autoritedelaconcurrence.fr/fr/decision-de-controle-des-concentrations/relative-la-creation-dune-union-mutualiste-de-groupe-par</w:t>
      </w:r>
    </w:p>
    <w:p>
      <w:r>
        <w:t>Pages translated : 9</w:t>
      </w:r>
    </w:p>
    <w:p/>
    <w:p>
      <w:r>
        <w:rPr>
          <w:b/>
        </w:rPr>
        <w:t>[Pages 1–3]</w:t>
      </w:r>
    </w:p>
    <w:p>
      <w:r>
        <w:t xml:space="preserve">FRENCH REPUBLIC  </w:t>
        <w:br/>
        <w:t xml:space="preserve">Decision No. 11-DCC-12 of February 1, 2011  </w:t>
        <w:br/>
        <w:t xml:space="preserve">regarding the creation of a Group Mutual Union by the  </w:t>
        <w:br/>
        <w:t>MGEN, MNH, MNT, MGET, and MAEE groups</w:t>
      </w:r>
    </w:p>
    <w:p>
      <w:r>
        <w:t xml:space="preserve">The Competition Authority,  </w:t>
        <w:br/>
        <w:t xml:space="preserve">Having regard to the notification file submitted in full to the merger service on December 28, 2010, regarding the creation of a Group Mutual Union by the MGEN, MNH, MNT, MGET, and MAEE groups, formalized by a draft constitution of a Group Mutual Union (hereinafter "UMG"), approved following the general assemblies convened by the MGEN group on July 8, 2010, by the MNH on June 24, 2010, by the MNT on June 19, 2010, by the MGET on June 23 and 24, 2010, and by the MAEE on October 15,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w:t>
        <w:br/>
        <w:t xml:space="preserve">1. The MGEN group (Mutuelle Générale de l’Éducation Nationale), a mutual group governed by the Code of Mutuality, primarily serves professionals in national education, higher education, research, culture and communication, youth and sports, in the fields of complementary health insurance and provident insurance, as well as in ancillary activities such as borrower insurance, funeral insurance, or retirement savings insurance. The MGEN group consists of a union and five mutual societies: MGEN, responsible for services and benefits related to illness, accident, and the guarantee of any person within its recruitment scope; MGEN Vie, dedicated to benefits related to birth, death, and disability; MGEN Filia, responsible for assistance operations for individuals and competent for services and benefits related to illness and accident for any person not falling within the recruitment scope of the group; MGEN Action sanitaire et sociale and MGEN Centres de santé, two mutual societies dedicated to the management of health and social care establishments as well as health centers. Only the first three mutual societies, which fall under Title II of the Code of Mutuality, are called to integrate the UMG. With just under 3 million protected individuals at the end of 2009, the MGEN Group consists of 101 sections responsible for recruiting and retaining members, [...] processing centers responsible for managing files, and [...] call centers ensuring telephone reception.  </w:t>
        <w:br/>
        <w:t xml:space="preserve">2. The MNH group (Mutuelle Nationale des Hospitaliers), consisting of two mutual societies (MNH and MNH Prévoyance) governed by the Code of Mutuality, primarily serves health professionals in both the public and private sectors, in the fields of complementary health insurance and provident insurance, funeral insurance, assistance insurance, and acquisition guarantees. Protecting 1.1 million individuals, the MNH group includes a network of 40 coordinators, 7 branches, and 2,500 non-salaried MNH correspondents.  </w:t>
        <w:br/>
        <w:t xml:space="preserve">3. The MNT (Mutuelle Nationale Territoriale), a mutual society governed by the Code of Mutuality, primarily addresses agents of the territorial public service. It mainly operates in the fields of complementary health insurance and provident insurance as well as in ancillary activities such as assistance, acquisition guarantees, funeral insurance, borrower insurance, retirement savings, and the distribution of consumer loans. With approximately 1.1 million protected individuals, the MNT* relies on a network of 83 departmental sections that ensure the recruitment and retention of members, [...] processing centers responsible for managing benefits and contributions, and a call center.  </w:t>
        <w:br/>
        <w:t xml:space="preserve">4. The MGET (Mutuelle Générale Environnement et Territoires), a mutual society governed by the Code of Mutuality, primarily serves agents of the public service and employees working in the fields of ecology, transport, and land development, in the areas of complementary health insurance and provident insurance, retirement savings, funeral insurance, borrower insurance, acquisition guarantees, and assistance. Protecting approximately 235,000 individuals, the MGET has a network of 102 local sections present in mainland France and overseas, as well as a telephone platform.  </w:t>
        <w:br/>
        <w:t xml:space="preserve">5. The MAEE (Mutuelle des Affaires Étrangères et Européennes), a mutual society governed by the Code of Mutuality, primarily serves agents of the Ministry of Foreign Affairs in France and abroad, in the fields of complementary health insurance and provident insurance, as well as in ancillary activities such as assistance, borrower insurance, and acquisition guarantees. With approximately 25,000 protected individuals, the MAEE consists of a headquarters in Paris and a branch in Nantes.  </w:t>
        <w:br/>
        <w:t>* Material error corrected.</w:t>
      </w:r>
    </w:p>
    <w:p>
      <w:r>
        <w:t xml:space="preserve">II. The operation  </w:t>
        <w:br/>
        <w:t xml:space="preserve">6. The parties to the operation plan to establish a Group Mutual Union (hereinafter "UMG") in order to create links of financial solidarity among themselves and to pool the means, resources, and organizations necessary for the implementation of common projects.  </w:t>
        <w:br/>
        <w:t xml:space="preserve">7. UMGs are a legal form of enterprise introduced by Law No. 2008-776 of August 4, 2008, into the Code of Mutuality. According to the provisions of the new Article L. 111-4-2 of this code, a UMG is an enterprise whose main activity consists of "taking and managing holdings, within the meaning of 2° of the same Article L. 212-7-1, in enterprises subject to state control under Article L. 310-1 or Article L. 310-1-1 of the Insurance Code, or in insurance or reinsurance companies whose registered office is located outside France, or establishing and managing significant and lasting financial solidarity links with mutual societies or unions governed by Book II of this code, provident institutions or unions governed by Title III of Book IX of the Social Security Code, mutual insurance companies governed by the Insurance Code, or insurance or reinsurance companies in mutual or cooperative form or with joint management having their registered office in a Member State of the European Community or in another State party to the agreement on the European Economic Area." The same Article L. 111-4-2 adds that "when the UMG has, with an affiliated organization, significant and lasting financial solidarity links that do not result from holdings within the meaning of 2° of Article L. 212-7-1, these links are defined by an affiliation agreement."  </w:t>
        <w:br/>
        <w:t xml:space="preserve">8. In this case, the draft statute and affiliation agreement of the UMG provides for a two-level financial solidarity mechanism between it and its affiliated companies, the benefit of which may be requested by the affiliated company in the event of a deterioration in its financial situation that may lead it to fail to meet its capital requirements or in case of urgent need due to cash flow difficulties. The UMG will publish combined accounts, equivalent to consolidated accounts, based on the accounts of the affiliated companies.  </w:t>
        <w:br/>
        <w:t xml:space="preserve">9. The draft statute also provides that the UMG will aim to define and coordinate the strategic orientations necessary for the development of the group it constitutes. Specifically, the affiliated companies will be required to seek the authorization of the board of directors of the UMG on decisions likely to significantly impact their situation, such as those relating to the volume of contributions, the structure of the commercial offer (expansion of their recruitment scope or their approvals), or the risk incurred (commitments exceeding 10% of the free equity of the affiliated company). Similarly, for a number of actions, such as launching a new offer or guarantee, or a strategic investment, or an industrial or commercial cooperation agreement with a third party, each affiliated company will be required to inform the bodies of the UMG in advance.  </w:t>
        <w:br/>
        <w:t xml:space="preserve">10. Furthermore, common operational projects will be developed by the UMG, including the establishment of joint risk management in the context of the reform of prudential standards, the pooling of management means and key resources, the development of common offers under the UMG brand, and the optimization of asset management performance for the benefit of all affiliated mutual societies.  </w:t>
        <w:br/>
        <w:t>1 Two modalities of financial solidarity are provided: a first-level solidarity on the own resources of the UMG; a second-level solidarity, among the affiliated companies, through loans, the issuance of subordinated securities, or any other relevant means.</w:t>
      </w:r>
    </w:p>
    <w:p>
      <w:r>
        <w:rPr>
          <w:b/>
        </w:rPr>
        <w:t>[Pages 4–6]</w:t>
      </w:r>
    </w:p>
    <w:p>
      <w:r>
        <w:t>11. Finally, the draft statute of the UMG provides that its general assembly will be composed of all affiliated companies, whose number of votes will be determined based on, on the one hand, their number of members and, on the other hand, their volume of surplus equity. The general assembly will have the authority to appoint, by a simple majority in number and votes of the affiliated members, the twelve members of the board of directors and to deliberate, under the same conditions, on all decisions related to the second-level financial solidarity mechanism. The board of directors will be tasked with proposing the annual operating budget, deciding on non-routine investment operations, and implementing the first-level financial solidarity mechanism under the conditions set forth in the affiliation agreement. However, given the amount of equity and the respective number of members of each affiliated mutual society, the voting rights within the general assembly will be distributed as follows: MGEN: 50%; MNH: […]%; MNT: […]%; MGET: […]%; MAEE: […]%. Although this distribution, calculated based on the figures for the year 2010, may evolve each year, the MGEN group estimates, particularly in light of the evolution of its equity and the number of its members over the past five years, that it is highly unlikely that its voting rights will fall below 50% in the future. Consequently, MGEN will have the power to block strategic decisions of the UMG.</w:t>
      </w:r>
    </w:p>
    <w:p>
      <w:r>
        <w:t>12. Considering all these elements, the establishment of the UMG is analyzed as the gathering of activities of previously independent companies within a single economic entity, endowed with a unique and sustainable economic management power, which will be exclusively controlled by the MGEN group. As a result, this operation constitutes a concentration within the meaning of Article L. 430-1 of the Commercial Code.</w:t>
      </w:r>
    </w:p>
    <w:p>
      <w:r>
        <w:t>13. The companies involved generate a total global turnover of more than 150 million euros (MGEN group: […] billion euros for the fiscal year ending December 31, 2009; MNH: […] million euros for the same fiscal year; MNT: […] million euros; MGET: […] million euros; MAEE: […] million euros). At least two of these companies generate a turnover in France exceeding 50 million euros (the turnover of the companies involved is entirely generated in France).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III. Delimitation of Relevant Markets</w:t>
      </w:r>
    </w:p>
    <w:p>
      <w:r>
        <w:t>A. THE MARKETS FOR PRODUCTS</w:t>
      </w:r>
    </w:p>
    <w:p>
      <w:r>
        <w:t>14. Each of the parties to the operation primarily markets complementary health insurance and provident insurance. Some of them also offer, as ancillary services, guarantees or complementary services, such as a purchase guarantee, a borrower’s insurance, a funeral insurance, a dependency insurance, a retirement savings plan, or assistance insurance. For some of these products, the parties are merely distributors on behalf of third parties, such as insurance companies or other mutual societies.</w:t>
      </w:r>
    </w:p>
    <w:p>
      <w:r>
        <w:t>15. The parties to the operation are thus present both upstream in the "production" market for insurance and downstream in the market for the distribution of insurance products on behalf of third parties.</w:t>
      </w:r>
    </w:p>
    <w:p>
      <w:r>
        <w:t>1. THE MARKETS FOR INSURANCE PRODUCTS</w:t>
      </w:r>
    </w:p>
    <w:p>
      <w:r>
        <w:t>16. National and community competition authorities consistently distinguish three main categories of insurance products: personal insurance, property insurance, and reinsurance.</w:t>
      </w:r>
    </w:p>
    <w:p>
      <w:r>
        <w:t>17. Regarding the first two categories of products, it is also consistent that they can in turn be segmented into as many markets as there are insurances covering different types of risks, insofar as, from the demand perspective, insurances covering these different risks are not substitutable.</w:t>
      </w:r>
    </w:p>
    <w:p>
      <w:r>
        <w:t>18. Concerning the market for personal insurance, an additional segmentation can be made between group insurance contracts, concluded between an insurer and a subscriber distinct from the beneficiary, and individual insurance contracts where the subscriber is also the beneficiary.</w:t>
      </w:r>
    </w:p>
    <w:p>
      <w:r>
        <w:t>19. Similarly, regarding the market for property insurance, an additional segmentation can be made between insurance for individuals and insurance for professionals.</w:t>
      </w:r>
    </w:p>
    <w:p>
      <w:r>
        <w:t>20. In this case, the parties to the operation are simultaneously active in personal insurance and have identified the following segments where their activities overlap:</w:t>
        <w:br/>
        <w:t>- the market for complementary health insurance, which aims to supplement the benefits offered by mandatory health insurance schemes. The covered risk corresponds to the costs not covered by social security incurred for medical treatment, and the complementary reimbursements depend on the benefits of the legal social security scheme. This may involve either group insurance contracts or individual insurance contracts;</w:t>
        <w:br/>
        <w:t>- the market for provident insurance, which includes insurance products intended to cover beneficiaries against loss of income in the event of an accident, death, long-term illness, disability, incapacity, or job loss through the payment of compensation in the form of a capital sum or annuity. The covered risk is that of an unpredictable loss of income suffered by the beneficiary or their heirs. This may involve either group insurance contracts or individual insurance contracts;</w:t>
        <w:br/>
        <w:t>- the market for funeral insurance, which is intended to cover funeral expenses and provide assistance for all procedures and formalities related to death.</w:t>
      </w:r>
    </w:p>
    <w:p>
      <w:r>
        <w:t>21. In any event, the exact definition of each of the markets examined in this decision can be left open, insofar as the conclusions of the competitive analysis will remain unchanged regardless of the segmentations adopted.</w:t>
      </w:r>
    </w:p>
    <w:p>
      <w:r>
        <w:t>2. THE MARKETS FOR THE DISTRIBUTION OF INSURANCE PRODUCTS ON BEHALF OF THIRD PARTIES</w:t>
      </w:r>
    </w:p>
    <w:p>
      <w:r>
        <w:t>22. The distribution of insurance products involves marketing and ensuring the administrative management of guarantees or insurance contracts whose risk is borne by third-party insurers. Competition authorities, both at the community and national levels, have left open the question of the precise delimitation of markets in this sector, with several segmentations being considered.</w:t>
      </w:r>
    </w:p>
    <w:p>
      <w:r>
        <w:t>23. A broad market for the distribution of insurance products by independent intermediaries, including all distribution channels (agents, brokers, and other intermediaries such as banks), with the exception of direct distribution by insurance companies, has thus been identified.</w:t>
      </w:r>
    </w:p>
    <w:p>
      <w:r>
        <w:t>24. The markets for the distribution of insurance products can also be segmented based on the category of insured risks (property insurance and personal insurance) and according to the clientele (businesses or individuals).</w:t>
      </w:r>
    </w:p>
    <w:p>
      <w:r>
        <w:t>25. In this case, the parties to the operation are simultaneously active in the markets for the distribution on behalf of third parties of dependency insurance products, purchase guarantees, borrower’s insurance, retirement savings, and assistance insurance:</w:t>
        <w:br/>
        <w:t>- the market for dependency insurance, which includes guarantees consisting of paying a benefit, in the form of a capital sum or annuity, to the beneficiary in the event of total or partial, permanent or temporary loss of autonomy. This may involve either group insurance contracts or individual insurance contracts;</w:t>
        <w:br/>
        <w:t>- the market for retirement savings, which ensures the beneficiary an annuity in addition to those paid to them under their mandatory basic retirement and mandatory complementary retirement. The guarantee offered by the parties is only available in the form of individual contracts;</w:t>
        <w:br/>
        <w:t>- the market for assistance, which includes cash or in-kind benefits aimed at helping the insured when faced with an unforeseen event;</w:t>
        <w:br/>
        <w:t>- the market for borrower’s insurance, which is insurance taken out by an individual in connection with a mortgage or consumer credit to guarantee the repayment of the loan in the event of the occurrence of certain life-related risks (death, loss of autonomy, etc.);</w:t>
        <w:br/>
        <w:t>- the market for purchase guarantees intended to provide banks, in the context of a mortgage, with guarantees on the financed property.</w:t>
      </w:r>
    </w:p>
    <w:p>
      <w:r>
        <w:t>26. In any case, in the absence of competitive issues, it is not necessary to resolve the question of the exact delimitation of the markets for the distribution of insurance products.</w:t>
      </w:r>
    </w:p>
    <w:p>
      <w:r>
        <w:rPr>
          <w:b/>
        </w:rPr>
        <w:t>[Pages 7–9]</w:t>
      </w:r>
    </w:p>
    <w:p>
      <w:r>
        <w:t xml:space="preserve">B. THE GEOGRAPHICAL MARKETS  </w:t>
        <w:br/>
        <w:t xml:space="preserve">27. With the exception of certain insurances covering large-scale risks, the markets for insurance products have been considered to be of national dimension given consumer preferences, the existence of national legislation and tax constraints, the current structure of these markets, and regulatory systems.  </w:t>
        <w:br/>
        <w:t xml:space="preserve">28. Similarly, the markets for the distribution of insurance products have been considered primarily to be of national dimension.  </w:t>
        <w:br/>
        <w:t>29. There is no need to call into question these delimitations in the context of the present operation.</w:t>
      </w:r>
    </w:p>
    <w:p>
      <w:r>
        <w:t xml:space="preserve">IV. The Competitive Analysis  </w:t>
        <w:br/>
        <w:t xml:space="preserve">A. THE MARKETS FOR INSURANCE PRODUCTS  </w:t>
        <w:br/>
        <w:t xml:space="preserve">30. The market shares of the parties in the markets where their activities overlap are reproduced in the table below. These market shares have been calculated by the parties based on the available data (in value) for the year 2009.  </w:t>
        <w:br/>
        <w:t xml:space="preserve">Markets MGEN MNH MNT MGET MAEE UMG  </w:t>
        <w:br/>
        <w:t xml:space="preserve">Total [0-5] % [0-5] % [0-5] % [0-5] % [0-5] % [5-10] %  </w:t>
        <w:br/>
        <w:t xml:space="preserve">Individual health  </w:t>
        <w:br/>
        <w:t xml:space="preserve">Complementary contracts [5-10] % [0-5] % [0-5] % [0-5] % [0-5] % [10-20] %  </w:t>
        <w:br/>
        <w:t xml:space="preserve">Collective contracts [0-5] % [0-5] % [0-5] % [0-5] % - [0-5] %  </w:t>
        <w:br/>
        <w:t xml:space="preserve">Total [0-5] % [0-5] % [0-5] % [0-5] % [0-5] % [0-5] %  </w:t>
        <w:br/>
        <w:t xml:space="preserve">Individual death  </w:t>
        <w:br/>
        <w:t xml:space="preserve">Insurance contracts [0-5] % [0-5] % [0-5] % [0-5] % [0-5] % [0-5] %  </w:t>
        <w:br/>
        <w:t xml:space="preserve">Collective contracts [0-5] % - [0-5] % [0-5] % - [0-5] %  </w:t>
        <w:br/>
        <w:t xml:space="preserve">Total [0-5] % - [0-5] % [0-5] % [0-5] % [0-5] %  </w:t>
        <w:br/>
        <w:t xml:space="preserve">Individual incapacity-  </w:t>
        <w:br/>
        <w:t xml:space="preserve">disability contracts [0-5] % - [0-5] % [0-5] % [0-5] % [0-5] %  </w:t>
        <w:br/>
        <w:t xml:space="preserve">Collective contracts [0-5] % - [0-5] % [0-5] % - [0-5] %  </w:t>
        <w:br/>
        <w:t>Funeral insurance [0-5] % [0-5] % [0-5] % [0-5] % - [0-5] %</w:t>
      </w:r>
    </w:p>
    <w:p>
      <w:r>
        <w:t xml:space="preserve">31. The new entity will total just over [10-20] % of individual complementary health insurance contracts. Already the leading player in this segment, MGEN will strengthen its position through this operation. However, the market has many other players, including Groupama (7 % of the market), Harmonie Mutuelle (6.6 % of the market), Swiss Life (4 % of the market), Axa (4 % of the market).  </w:t>
        <w:br/>
        <w:t xml:space="preserve">32. In the market for provident insurance (death and incapacity/disability insurance), the total activity of the parties to the operation represents less than [0-5] % of this market (less than [0-5] % in the individual provident segment). Several more powerful players operate in this market, such as Axa (9 % of the provident market), CNP (5-7 %), Malakoff Médéric (5-7 %), AG2R-La Mondiale (3-4 %), Allianz (3-4 %).  </w:t>
        <w:br/>
        <w:t xml:space="preserve">33. In the funeral insurance market, with a market share of less than [0-5] %, the new entity will continue to face competition from many operators, such as bancassurers (for example, Crédit Agricole Assurances, which represents 10 % of the market), insurance companies (Aviva, Generali, or Allianz), or provident institutions (for example, Malakoff Médéric).  </w:t>
        <w:br/>
        <w:t>34. Therefore, the operation is not likely to harm competition in the insurance products market.</w:t>
      </w:r>
    </w:p>
    <w:p>
      <w:r>
        <w:t xml:space="preserve">B. THE MARKETS FOR THE DISTRIBUTION OF INSURANCE PRODUCTS  </w:t>
        <w:br/>
        <w:t xml:space="preserve">35. In the long-term care insurance market, only MGET and MAEE distribute this type of product on behalf of third parties. With a very low combined market share of less than [0-5] %, the new entity will continue to face competition from numerous distributors.  </w:t>
        <w:br/>
        <w:t xml:space="preserve">36. In the borrower insurance market, all parties, except for MNH, distribute this type of product on behalf of third parties and together account for less than [5-10] % of the market.  </w:t>
        <w:br/>
        <w:t xml:space="preserve">37. In the acquisition guarantee and assistance market, all parties, except for MGEN, distribute this type of product on behalf of third parties. Their combined presence in these two respective market segments remains marginal, below [0-5] %.  </w:t>
        <w:br/>
        <w:t xml:space="preserve">38. Finally, in the retirement savings market, only MGEN, MNT, and MGET distribute this type of product on behalf of third parties. Together, they account for less than [0-5] % of this market segment.  </w:t>
        <w:br/>
        <w:t>39. Therefore, regardless of the markets considered in the insurance product distribution sector, the operation is not likely to harm competition.</w:t>
      </w:r>
    </w:p>
    <w:p>
      <w:r>
        <w:t xml:space="preserve">DECIDES  </w:t>
        <w:br/>
        <w:t xml:space="preserve">Article unique: The operation notified under number 10-0219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