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https://www.autoritedelaconcurrence.fr/fr/decision/relative-la-demande-de-mesures-conservatoires-presentee-par-la-societe-europeenne-de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94-MC-04 of May 4, 1994  </w:t>
        <w:br/>
        <w:t xml:space="preserve">concerning the request for interim measures  </w:t>
        <w:br/>
        <w:t xml:space="preserve">submitted by the European Long-Distance Trading Company  </w:t>
        <w:br/>
        <w:t>The Competition Council (standing committee),</w:t>
      </w:r>
    </w:p>
    <w:p>
      <w:r>
        <w:t>Having regard to the letter registered on February 18, 1994, under number M. 123, by which the European Long-Distance Trading Company (E.C.L.) referred the Competition Council to practices of the French Fencing Federation and requested the imposition of interim measures;</w:t>
      </w:r>
    </w:p>
    <w:p>
      <w:r>
        <w:t>Having regard to Ordinance No. 86-1243 of December 1, 1986, as amended, concerning the freedom of prices and competition, and Decree No. 86-1309 of December 29, 1986, as amended, adopted for its application;</w:t>
      </w:r>
    </w:p>
    <w:p>
      <w:r>
        <w:t>Having regard to the letter from the E.C.L. company, registered on April 8, 1994;</w:t>
      </w:r>
    </w:p>
    <w:p>
      <w:r>
        <w:t>Having regard to the other documents in the file;</w:t>
      </w:r>
    </w:p>
    <w:p>
      <w:r>
        <w:t>The rapporteur, the general rapporteur, the Government Commissioner heard;</w:t>
      </w:r>
    </w:p>
    <w:p>
      <w:r>
        <w:t>Considering that, by its aforementioned letter of April 8, 1994, the European Long-Distance Trading Company has declared to withdraw its request for interim measures;</w:t>
      </w:r>
    </w:p>
    <w:p>
      <w:r>
        <w:t xml:space="preserve">Decides:  </w:t>
        <w:br/>
        <w:t xml:space="preserve">Unique Article  </w:t>
        <w:br/>
        <w:t xml:space="preserve">The request for interim measures registered under number M 123 is classified.  </w:t>
        <w:br/>
        <w:t xml:space="preserve">Deliberated on the oral report of Mr. Henri Courivaud by Mr. Barbeau, president, and Messrs. Cortesse and Jenny, vice-presidents.  </w:t>
        <w:br/>
        <w:t xml:space="preserve">The substitute general rapporteur, The president,  </w:t>
        <w:br/>
        <w:t xml:space="preserve">Mr. Picard C.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