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https://www.autoritedelaconcurrence.fr/fr/decision/relative-la-demande-de-mesures-conservatoires-presentee-par-la-societe-finegee-lencontre</w:t>
      </w:r>
    </w:p>
    <w:p>
      <w:r>
        <w:t>Pages translated : 9</w:t>
      </w:r>
    </w:p>
    <w:p/>
    <w:p>
      <w:r>
        <w:rPr>
          <w:b/>
        </w:rPr>
        <w:t>[Pages 1–3]</w:t>
      </w:r>
    </w:p>
    <w:p>
      <w:r>
        <w:t xml:space="preserve">FRENCH REPUBLIC  </w:t>
        <w:br/>
        <w:t xml:space="preserve">Decision No. 06-D-31 of October 20, 2006  </w:t>
        <w:br/>
        <w:t xml:space="preserve">regarding the request for interim measures submitted by the  </w:t>
        <w:br/>
        <w:t xml:space="preserve">company Finegee against the Heineken France Boissons group  </w:t>
        <w:br/>
        <w:t xml:space="preserve">The Competition Council (section II),  </w:t>
        <w:br/>
        <w:t xml:space="preserve">Having regard to the letter registered on May 26, 2006, under numbers 06/0040 F and 06/0041 M, by which the company Finegee (Société Française des Boissons Douces) referred to the Competition Council practices implemented by the Heineken France Boissons group and requested that interim measures be imposed on the basis of Article L. 464-1 of the Commercial Code;  </w:t>
        <w:br/>
        <w:t xml:space="preserve">Having regard to Book IV of the Commercial Code relating to price and competition freedom and the amended decree 2002-689 of April 30, 2002, setting the conditions for its application;  </w:t>
        <w:br/>
        <w:t xml:space="preserve">Having regard to the observations presented by the company Finegee, the Heineken group, and the government commissioner;  </w:t>
        <w:br/>
        <w:t xml:space="preserve">Having regard to the other documents in the file;  </w:t>
        <w:br/>
        <w:t xml:space="preserve">The reporting member, the deputy general reporter, the government commissioner, and the representatives of the companies Finegee, Heineken France, and the Rouquette group heard during the session of September 20, 2006;  </w:t>
        <w:br/>
        <w:t>Adopts the following decision:</w:t>
      </w:r>
    </w:p>
    <w:p>
      <w:r>
        <w:t xml:space="preserve">I. Findings  </w:t>
        <w:br/>
        <w:t xml:space="preserve">A. THE REFERRAL  </w:t>
        <w:br/>
        <w:t xml:space="preserve">1. Pursuant to Article L. 462-5 of the Commercial Code, the company Finegee (formerly known as Société Française des Boissons Douces until autumn 2005) referred the matter to the Council by letter registered on May 26, 2006, under numbers 06/0040 F and 06/0041 M, concerning a file related to certain practices allegedly implemented by the Heineken France Boissons group (hereinafter Heineken) and the Rouquette group in the beer distribution market in Ile-de-France.  </w:t>
        <w:br/>
        <w:t xml:space="preserve">2. Furthermore, it requested, on the basis of Article L. 464-1 of the same code, that the Competition Council impose interim measures.  </w:t>
        <w:br/>
        <w:t xml:space="preserve">3. The complainant reports to the Council the conditions under which the France Boissons Nayrolles warehouse (hereinafter FBN) was transferred by the Heineken group to the Rouquette group, this transfer having been imposed on her by the Minister of Economy and Finance by an order dated May 25, 2005, made under the concentration control.  </w:t>
        <w:br/>
        <w:t xml:space="preserve">4. The seizing company, which was also a candidate for the acquisition of the warehouse, denounces "the non-compliance with the principles of transparency and fairness of the call for tenders." It further believes that the choice of the Rouquette group by Heineken, under these conditions, is indicative of an anti-competitive agreement between the two groups.  </w:t>
        <w:br/>
        <w:t xml:space="preserve">5. As a precautionary measure, the seizing company requests the Competition Council to declare "null and void" the call for tenders launched by Heineken for the transfer of the warehouse and to organize a new call for tenders that is "fair, transparent, and non-discriminatory."  </w:t>
        <w:br/>
        <w:t xml:space="preserve">B. THE BEER DISTRIBUTION SECTOR  </w:t>
        <w:br/>
        <w:t xml:space="preserve">6. The relevant sector of activity is that of beer distribution for consumption off-premises.  </w:t>
        <w:br/>
        <w:t xml:space="preserve">7. The consumption of beer off-premises occurs, for the most part, in cafés, hotels, and restaurants (CHR). In the CHR circuit, there is an intermediary distributor between the brewer and the off-premises catering establishment. This is most often the wholesale beverage warehouse, which delivers beverages to off-premises catering establishments. In addition to transporting products from breweries to the warehouse, storing products, and delivering them to points of sale, this activity requires the return of empty, consigned packaging and the necessary accounting operations for their management.  </w:t>
        <w:br/>
        <w:t xml:space="preserve">8. Since 1995, the three main brewers in France (Heineken, Kronenbourg, and InBev) have acquired numerous independent wholesale warehouses or have taken minority stakes in the capital of the companies concerned.  </w:t>
        <w:br/>
        <w:t xml:space="preserve">9. Alongside the vertical integration movement of brewers in the 1990s, so-called "independent" distributors have grouped together to increase their negotiating power with their suppliers. The European Beverage Central (CEB), created in 1997 and now the C10 company, constitutes the largest network of independent distributors in France.  </w:t>
        <w:br/>
        <w:t xml:space="preserve">C. THE COMPANIES  </w:t>
        <w:br/>
        <w:t xml:space="preserve">1. THE COMPANY FINEGEE (SOCIÉTÉ FRANÇAISE DES BOISSONS DOUCES)  </w:t>
        <w:br/>
        <w:t xml:space="preserve">10. The company Finegee, formerly Société Française des Boissons Douces (SFBD), is a public limited company with an executive board and supervisory board. This holding company holds stakes in three other companies in the fields of publishing, training, and catering.  </w:t>
        <w:br/>
        <w:t xml:space="preserve">11. Its subsidiary in catering, the company Maltabena, owns the recipes for a range of non-alcoholic malt-based beverages. The complainant company indicates that it contacted the Heineken group at the beginning of 2005, specifically "in the context of its search for a manufacturer and distributor for its range of non-alcoholic malt-based beverages." Heineken was reportedly not interested in distributing these products but invited Finegee to submit an offer for the purchase of the France Boissons Nayrolles warehouse.  </w:t>
        <w:br/>
        <w:t xml:space="preserve">2. THE HEINEKEN GROUP  </w:t>
        <w:br/>
        <w:t xml:space="preserve">12. Heineken France SAS is a holding company, 100% owned by the Dutch company Heineken International BV. This holding company has four subsidiaries, three of which manufacture and market beer: Heineken Entreprise SAS, Brasserie Fischer SA, and Brasserie Saint Omer SAS. These three companies constitute the brewing pole of the group. The fourth subsidiary is France Boissons SAS, which itself is a holding company grouping around sixty wholesale warehouse subsidiaries spread across the entire French territory.  </w:t>
        <w:br/>
        <w:t xml:space="preserve">13. According to a Xerfi study from 2002, the Heineken group was the leader in the beer market sold in the CHD circuit with a market share of 39% in 2000, just ahead of the Kronenbourg group, whose market share was 37% at that time. The InBev group held the third position in this market with a share of 17%. Since 2000, these market shares have remained stable.  </w:t>
        <w:br/>
        <w:t>14. France Boissons constitutes the largest network of wholesale warehouses in France.</w:t>
      </w:r>
    </w:p>
    <w:p>
      <w:r>
        <w:rPr>
          <w:b/>
        </w:rPr>
        <w:t>[Pages 4–6]</w:t>
      </w:r>
    </w:p>
    <w:p>
      <w:r>
        <w:t>15. The France Boissons Nayrolles warehouse, whose transfer by Heineken to the Rouquette group is the reason for the referral, is a wholesale beverage warehouse located in Drancy, in the Ile-de-France region. The company France Boissons, the parent company of the warehouse, put the warehouse up for sale under the supervision of Heineken France SAS and under the oversight of an independent agent approved by the DGCCRF.</w:t>
      </w:r>
    </w:p>
    <w:p>
      <w:r>
        <w:t>3. THE ROUQUETTE GROUP</w:t>
      </w:r>
    </w:p>
    <w:p>
      <w:r>
        <w:t>16. The Rouquette group is a public limited company with an executive board and supervisory board that includes six beverage or dry goods distribution companies active in Ile-de-France. Its headquarters is in Chelles (Seine-et-Marne). The capital is 100% owned by the Rouquette family.</w:t>
      </w:r>
    </w:p>
    <w:p>
      <w:r>
        <w:t>17. The Rouquette group itself holds 100% of the capital of SAS Brasserie Les Vosges, which purchased the France Boissons Nayrolles warehouse in April 2006. SAS Brasserie Les Vosges is a wholesale beverage warehouse that distributes, in order of importance, water, soft drinks, fruit juices, beer, wine, and spirits, as well as coffee.</w:t>
      </w:r>
    </w:p>
    <w:p>
      <w:r>
        <w:t>18. The Coca-Cola group is the main supplier of the Rouquette group, with the Heineken group coming in fifth place. However, Heineken is the main supplier of the Rouquette group concerning only beer kegs.</w:t>
      </w:r>
    </w:p>
    <w:p>
      <w:r>
        <w:t>D. PRESENTATION OF THE REFERRAL ON THE MERITS AND REQUESTED INTERIM MEASURES</w:t>
      </w:r>
    </w:p>
    <w:p>
      <w:r>
        <w:t>1. THE CONTEXT OF THE REFERRAL</w:t>
      </w:r>
    </w:p>
    <w:p>
      <w:r>
        <w:t>19. Pursuant to Articles L. 430-1 and following of the Commercial Code in their wording prior to the NRE law of May 15, 2001, and after the Competition Council issued an opinion on May 18, 2004, the Minister of Economy, Finance and Industry and the Minister of Agriculture authorized, by an order1 dated May 25, 2005, eleven acquisitions of warehouses made by the Heineken group in France, subject to the transfer, to a buyer approved by the Minister responsible for the economy, of three warehouses, including that of France Boissons Nayrolles. According to the order, an independent agent, approved by the Minister of Economy, is tasked with "reporting to the Minister responsible for the economy, every two months, on the management during the transitional period of the activities to be transferred and the progress of the transfer operations."</w:t>
      </w:r>
    </w:p>
    <w:p>
      <w:r>
        <w:t>1 Cf. order of May 25, 2005, jointly signed by the Ministers of Economy and Agriculture, concerning several acquisitions of warehouses made by the Sogebra-Heineken group in the beer distribution sector in the CHR circuit.</w:t>
      </w:r>
    </w:p>
    <w:p>
      <w:r>
        <w:t>2. THE ALLEGED PRACTICES</w:t>
      </w:r>
    </w:p>
    <w:p>
      <w:r>
        <w:t>a) The failure to respect the principles of transparency and fairness of the call for tenders</w:t>
      </w:r>
    </w:p>
    <w:p>
      <w:r>
        <w:t>20. The complainant argues, first of all, "that the principles of transparency and fairness of the call for tenders were not respected" during the transfer of the France Boissons Nayrolles warehouse (FBN) and denounces the discriminatory treatment to which it was subjected. It claims that the Rouquette group, the buyer chosen by Heineken, submitted a late offer, outside the initial procedure. It further asserts that this offer was not financed within the deadlines imposed by the call for tenders procedure, while its own was. It contends that the procedure chosen by Heineken was "based on four criteria:</w:t>
        <w:br/>
        <w:t>• a timeline, first evolving then directive and closed;</w:t>
        <w:br/>
        <w:t>• competition among various bidders;</w:t>
        <w:br/>
        <w:t>• the submission of a sum to access the documentation, namely a check for 50,000 euros made out to France Boissons (...);</w:t>
        <w:br/>
        <w:t>• the transmission of the selected firm offer to the DGCCRF"</w:t>
        <w:br/>
        <w:t>which, taken together, clearly define a call for tenders and not a private sale." It therefore believes that "the principles of any call for tenders, notably transparency, equal treatment, and the absence of discrimination among potential buyers" were not respected.</w:t>
      </w:r>
    </w:p>
    <w:p>
      <w:r>
        <w:t>21. During his hearing, the general director of the C10 company, who participated in the call for tenders in question in association with one of its member companies, indicated that he shared the "feeling that the call for tenders procedure was not fully respected." He had "the firm conviction" that on the date indicated for the submission of financed offers, the offer from the Rouquette group was not yet financed and was surprised that this candidate was able to obtain approval for the acquisition of the FBN warehouse.</w:t>
      </w:r>
    </w:p>
    <w:p>
      <w:r>
        <w:t>b) The existence of an anti-competitive agreement between Heineken and the Rouquette group</w:t>
      </w:r>
    </w:p>
    <w:p>
      <w:r>
        <w:t>22. The complainant alleges, secondly, the existence of an anti-competitive agreement between the Rouquette and Heineken groups, based on the following four elements:</w:t>
        <w:br/>
        <w:t>(cid:131) First, the selection of the buyer would have taken place under non-transparent and discriminatory conditions (cf. supra). During his hearing on August 30, 2006, the representative of the seizing company stated: "Everything happened as if Heineken had already chosen the Rouquette group before launching its call for tenders. We understand the call for tenders as a means for Heineken to select another buyer in case the Rouquette group did not have the necessary financing."</w:t>
        <w:br/>
        <w:t>(cid:131) Second, the company Finegee denounces the "closeness" of the two groups, based on "ease of negotiations and discussions between individuals who have long belonged to the same professional environment and have common interests."</w:t>
      </w:r>
    </w:p>
    <w:p>
      <w:r>
        <w:t>(cid:131) Third, the seizing party alleges having been pressured by France Boissons to commit, in the event of acquiring the FBN warehouse, to resell it to the Heineken group within ten years. According to her statements, Heineken was supposed to commit, in return, to repurchase this warehouse at a price guaranteeing her a 50% capital gain. The company Finegee produces a draft letter to this effect that it allegedly sent on December 12, 2005, by email, to the company France Boissons. According to the company Finegee, it is likely that a similar agreement was concluded between Heineken and the Rouquette group.</w:t>
      </w:r>
    </w:p>
    <w:p>
      <w:r>
        <w:t>(cid:131) Lastly, she argues that the Rouquette group left the network of independent wholesale depositaries C10 and relates this departure to the decision made by the board of directors of C10 to associate with its members when they would apply to acquire one of the warehouses put up for sale following the orders issued by the Minister on May 25, 2005. It was also agreed that C10 would be a minority shareholder but would benefit from a right of preemption on all shares in the event of disengagement by the main shareholder. The general director of C10 explains that this arrangement was intended to ensure the sustainability of warehouse acquisitions by C10 members, in order to avoid speculative strategies consisting of resale to one of the three major brewers. The general director of C10 commented on this departure as follows: "By leaving the C10 network in December 2004, the Rouquette group announced its desire to be a sole candidate for the purchase of warehouses. I cannot imagine that a historical member of C10 decides to leave the network, with all the consequences that this implies for its internal organization, without this being dictated by the desire to act freely with respect to the sellers and the rules established by C10 to frame the acquisition process."</w:t>
      </w:r>
    </w:p>
    <w:p>
      <w:r>
        <w:t>23. The complainant concludes its referral by arguing that "these facts and practices are [...] likely to jeopardize the restoration of sufficient competition in the relevant markets, which is the very object of the ministerial order of May 25, 2005, issued following [the] opinion of May 18, 2004 [of the Competition Council]."</w:t>
      </w:r>
    </w:p>
    <w:p>
      <w:r>
        <w:t>3. REQUESTED INTERIM MEASURES</w:t>
      </w:r>
    </w:p>
    <w:p>
      <w:r>
        <w:t>24. The company Finegee requests the Competition Council to "(i) condemn the anti-competitive practices of which [it is] a victim by declaring null and void the above-referenced call for tenders; (ii) organize a new 'fair, transparent, and non-discriminatory' call for tenders."</w:t>
      </w:r>
    </w:p>
    <w:p>
      <w:r>
        <w:rPr>
          <w:b/>
        </w:rPr>
        <w:t>[Pages 7–9]</w:t>
      </w:r>
    </w:p>
    <w:p>
      <w:r>
        <w:t xml:space="preserve">II. Discussion  </w:t>
        <w:br/>
        <w:t xml:space="preserve">25. Article 42 of the decree of April 30, 2002, as amended, states that "the request for interim measures mentioned in Article L. 464-1 of the Commercial Code can only be made incidentally to a substantive referral to the Competition Council. It may be presented at any time during the proceedings and must be justified." Therefore, a request for interim measures can only be examined to the extent that the substantive referral is admissible and not rejected for lack of sufficiently probative elements, in accordance with the second paragraph of Article L. 462-8 of the Commercial Code, according to which the Competition Council "(...) may also reject the referral by reasoned decision when it considers that the facts invoked are not supported by sufficiently probative elements."  </w:t>
        <w:br/>
        <w:t xml:space="preserve">A. ON JURISDICTION  </w:t>
        <w:br/>
        <w:t xml:space="preserve">26. The government commissioner recalls in his observations that the Council is not competent to assess the legality of the decision of the Minister of Economy and Finance approving the chosen buyer for the implementation of an injunction under Title III of the Commercial Code and that it is therefore not for the Council to verify whether the acquirer is a viable current or potential competitor, independent of the parties and without any links to them, and who possesses the financial resources, confirmed skills, and necessary motivation to preserve and develop the competitive capacity of the activity, elements that are subject to verification by the DGCCRF services and condition the granting of approval.  </w:t>
        <w:br/>
        <w:t xml:space="preserve">27. The decision of the minister responsible for the economy, taken under the concentration control organized by Articles L. 430-1 and following of the Competition Code, indeed constitutes an administrative act whose legality can only be assessed by the Council of State. The same applies to the decision by which the minister, noting that the parties to the concentration operation have not executed an injunction, prescription, or commitment within the set deadlines, would withdraw, after consulting the Competition Council, the authorization granted or would order the parties to comply based on IV of Article L. 430-8 of the Commercial Code. Therefore, it is only to the extent that the behaviors denounced are separable from the execution of the decision made under concentration control that the Council is competent to qualify them under Articles L. 420-1 and L. 420-2 of the Commercial Code.  </w:t>
        <w:br/>
        <w:t>28. In this case, it is not the lack of structural independence of the Rouquette group from Heineken or the incapacity of the former to restore, by nature, sufficient competition in the market that the complainant challenges. On the contrary, she alleges the existence of an agreement, that is, a meeting of minds between two autonomous companies, to distort competition in the market. This is indeed a practice separable from the assessment of the legality of the minister's decision, and the Council is therefore competent to examine it in light of Article L. 420-1 of the Commercial Code.</w:t>
      </w:r>
    </w:p>
    <w:p>
      <w:r>
        <w:t xml:space="preserve">B. ON THE EXISTENCE OF AN ANTICOMPETITIVE AGREEMENT BETWEEN THE HEINEKEN GROUP AND THE ROUQUETTE GROUP  </w:t>
        <w:br/>
        <w:t xml:space="preserve">29. Regarding the conditions under which the Rouquette group submitted a bid and was chosen as the acquirer, it should be noted that the services of the Minister of Economy in charge of concentration control indicated that the order imposing the transfer of the France Boissons Nayrolles warehouse on the Heineken group left the latter free to negotiate with whomever it wished and under the conditions it was free to define. The agent designated for the operation specified, during his hearing on August 31, 2006, that "Heineken was not required to make a call for tenders. The process was a private sale." In fact, France Boissons, in its letter of October 28, 2005, addressed to Finegee as well as to other potential acquirers, had announced from the outset that it reserved the right at its discretion (i) to accept the offer that it preferred and (ii) to reject the offer of any potential acquirer without having to disclose the reasons.  </w:t>
        <w:br/>
        <w:t xml:space="preserve">30. Furthermore, it appears from the elements of the file that the Rouquette group was informed by Heineken France Boissons of the sale of the warehouse as early as June 2005, at the same time as the Finegee company. The Rouquette group then signed the confidentiality agreement related to the transfer of the warehouse on August 3, 2005, less than a week after the Finegee company. The allegations of the complainant, who mentions a "new" offer made "outside the initial procedure," are therefore unfounded.  </w:t>
        <w:br/>
        <w:t xml:space="preserve">31. Finally, the agent designated for the operation by the minister stated that the offer from the Rouquette group was superior to that of Finegee in at least three respects: "a higher price; a bank financing guarantee; more attractive payment terms."  </w:t>
        <w:br/>
        <w:t xml:space="preserve">32. It follows that, assuming that the discrimination of which Finegee claims to be a victim could be an indication of an anticompetitive agreement between the Heineken and Rouquette groups, there is no element in the file attesting to the discriminatory nature of the conditions under which the Rouquette group submitted a bid and was chosen as the acquirer of the France Boissons Nayrolles warehouse put up for sale by the Heineken group.  </w:t>
        <w:br/>
        <w:t xml:space="preserve">33. Regarding the "closeness" of the two groups, defined by the complainant as "ease of negotiations and discussions between individuals belonging for a long time to the same professional environment and having common interests," it cannot be regarded as a probative element capable of demonstrating the existence of an anticompetitive agreement.  </w:t>
        <w:br/>
        <w:t>34. Regarding the pressures that would have been exerted on the Finegee company to commit to transferring the warehouse within ten years, the Heineken group firmly denies having contemplated such an agreement, and the president of France Boissons, recipient of the letter of December 12, 2005, states that he was "taken aback" upon receiving the draft letter in question. He explains that, on the contrary, he had discussed with the Finegee company a very different contractual mechanism, "by which FINEGEE would retrocede to France Boissons half of the capital gain it could realize in the event of resale of FBN to a third party (such as InBev or C10)" in order to "discourage purely opportunistic buyers wishing to speculate on a purchase-resale operation, which would have been detrimental to the sustainability of FBN."</w:t>
      </w:r>
    </w:p>
    <w:p>
      <w:r>
        <w:t xml:space="preserve">35. It follows from all the documents in the file that the draft letter in question, prepared by the complainant, unsigned and contested by the Heineken group, is devoid of probative value and that no other element in the file supports the allegation that the Heineken group proposed to the Finegee company the same type of agreement that Finegee claims was concluded between the Heineken group and the Rouquette group.  </w:t>
        <w:br/>
        <w:t xml:space="preserve">36. Regarding the departure of the Rouquette group from the C10 network, the representative of this group stated in the session that it left this network in December 2004, that is, prior to the minister's order of May 25, 2005. He further explained that his departure was primarily motivated by the fact that he disagreed with the evolution of the former European Beverage Central (CEB), of which he had been one of the founding members in 1997, and by his concern to preserve his status as an independent family business. In fact, the departure of the Rouquette group from the C10 network cannot, in the absence of other elements, constitute an indication of an anticompetitive agreement between this group and the Heineken group.  </w:t>
        <w:br/>
        <w:t xml:space="preserve">37. It follows from all of the above that none of the elements put forward by the complainant in support of the denunciation of the existence of an agreement between the Heineken group and the Rouquette group, which would distort competition in the beer distribution market in Ile-de-France, provide probative support for the alleged facts.  </w:t>
        <w:br/>
        <w:t xml:space="preserve">38. Therefore, it is necessary to apply the provisions of Article L. 462-8 of the Commercial Code and, consequently, to reject the request for interim measures.  </w:t>
        <w:br/>
        <w:t xml:space="preserve">DECISION  </w:t>
        <w:br/>
        <w:t xml:space="preserve">Article 1: The substantive referral registered under number 06/0040 F is rejected.  </w:t>
        <w:br/>
        <w:t xml:space="preserve">Article 2: The request for interim measures registered under number 06/0041 is also rejected.  </w:t>
        <w:br/>
        <w:t xml:space="preserve">Deliberated on the oral report of Ms. Cayatte, by Ms. Perrot, vice-president presiding over the session, Ms. Renard-Payen and Mr. Flichy, members.  </w:t>
        <w:br/>
        <w:t xml:space="preserve">The session secretary, The vice-president,  </w:t>
        <w:br/>
        <w:t xml:space="preserve">Catherine Duparcq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