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https://www.autoritedelaconcurrence.fr/fr/decision/relative-la-demande-de-mesures-conservatoires-presentee-par-la-societe-orangina-france</w:t>
      </w:r>
    </w:p>
    <w:p>
      <w:r>
        <w:t>Pages translated : 3</w:t>
      </w:r>
    </w:p>
    <w:p/>
    <w:p>
      <w:r>
        <w:rPr>
          <w:b/>
        </w:rPr>
        <w:t>[Pages 1–3]</w:t>
      </w:r>
    </w:p>
    <w:p>
      <w:r>
        <w:t xml:space="preserve">FRENCH REPUBLIC  </w:t>
        <w:br/>
        <w:t xml:space="preserve">Decision No. 94-MC-01 of January 26, 1994  </w:t>
        <w:br/>
        <w:t xml:space="preserve">regarding the request for interim measures  </w:t>
        <w:br/>
        <w:t>submitted by the company Orangina France</w:t>
      </w:r>
    </w:p>
    <w:p>
      <w:r>
        <w:t xml:space="preserve">The Competition Council (permanent commission),  </w:t>
        <w:br/>
        <w:t xml:space="preserve">Having regard to the letter registered on December 7, 1993, under numbers F 643 and M 117, by which the company Orangina France referred to the Competition Council practices of the company Coca-Cola Beverages that it considers anti-competitive and requests the issuance of interim measures;  </w:t>
        <w:br/>
        <w:t xml:space="preserve">Having regard to Ordinance No. 86-1243 of December 1, 1986, relating to price freedom and competition as amended and Decree No. 86-309 of December 29, 1986, as amended, taken for its application;  </w:t>
        <w:br/>
        <w:t xml:space="preserve">Having regard to the observations presented by the company Coca-Cola Beverages and by the Government Commissioner;  </w:t>
        <w:br/>
        <w:t>The rapporteur, the general rapporteur, the Government Commissioner, and the representatives of the companies Orangina France and Coca-Cola Beverages heard;</w:t>
      </w:r>
    </w:p>
    <w:p>
      <w:r>
        <w:t xml:space="preserve">Considering that the company Orangina France, a subsidiary of the Pernod-Ricard group and distributor of the Pepsi-Cola brand in France, denounces as contrary to the provisions of Article 8 of the Ordinance of December 1, 1986, the decision of the company Coca-Cola Beverages to market, starting from September 1993, the Coca-Cola beverage intended for cafes, hotels, and restaurants in 33-centiliter bottles and to sell these bottles at the same price as the 20-centiliter bottles still marketed by Coca-Cola France; that, according to the complainant, the choice of a new packaging for the Coca-Cola beverage would not be in accordance with the interest of the company Coca-Cola Beverages, already facing significant financial losses following the fiscal years 1990, 1991, and 1992, but would be motivated by the desire to eliminate the competing beverage Pepsi-Cola from the cafes, hotels, and restaurants sector by setting predatory prices; that it further argues that the company Coca-Cola Beverages would seek to impose on wholesale distributors and on cafes, hotels, and restaurants the resale of the Coca-Cola beverage in 33-centiliter packaging at the same price as that at which the 20-centiliter bottles are sold, despite the fact that the costs for these intermediaries would be higher for the 33-centiliter bottles:  </w:t>
        <w:br/>
        <w:t xml:space="preserve">Considering that, in addition to its main application, the company Orangina France requested the Competition Council to take, on the basis of Article 12 of this ordinance, the following interim measures:  </w:t>
        <w:br/>
        <w:t xml:space="preserve">- to prohibit the company Coca-Cola Beverages from offering for sale the 33-centiliter bottles at the same price as the 20-centiliter bottles  </w:t>
        <w:br/>
        <w:t xml:space="preserve">- to prohibit the company Coca-Cola Beverages from imposing on its wholesale distributor clients and on their clients the price it has itself set for the resale of the 33-centiliter bottles;  </w:t>
        <w:br/>
        <w:t xml:space="preserve">- to prohibit any suggestion regarding the resale price both at the intermediary level (wholesale distributors) and at the retail level (cafes, hotels, restaurants);  </w:t>
        <w:br/>
        <w:t xml:space="preserve">- to order the company Coca-Cola Beverages to inform its clientele by way of circular of the unlawful nature of its offer to sell the 33-centiliter bottles at the same price as the 20-centiliter bottles;  </w:t>
        <w:br/>
        <w:t xml:space="preserve">Considering that at the current stage of the procedure and subject to the substantive investigation, it cannot be excluded that the practices denounced by the company Orangina France may be subject to Article 8 of the Ordinance of December 1, 1986;  </w:t>
        <w:br/>
        <w:t xml:space="preserve">Considering that the application of the provisions of Article 12 of the Ordinance of December 1, 1986, is conditional upon the finding of behaviors that cause serious and immediate harm to the general economy, to that of the sector concerned, to the interest of consumers, or to the complaining company;  </w:t>
        <w:br/>
        <w:t xml:space="preserve">Considering that the company Orangina France does not provide specific elements allowing for the assessment of the seriousness of the harm to its financial or commercial interests that could result from the practices it denounces; that in particular, it does not provide elements establishing that sales of Pepsi-Cola in cafes, hotels, and restaurants have decreased since the implementation of these practices nor that cafes, hotels, and restaurants have ceased to source from it due to these same practices; that in any case, the sale of cola-flavored beverages represents only 10% of the activity of the company Orangina France and sales of these beverages to cafes, hotels, and restaurants represent only about 20% of cola-flavored beverage sales; that, regarding the future, if the company Orangina France alleges that the practices it denounces could lead, in the short term, to the termination of the concession contract that binds it to the company Pepsi-Cola, a contract it has not produced, it does not provide any elements to support this allegation;  </w:t>
        <w:br/>
        <w:t xml:space="preserve">Considering that it follows from the above that no element establishes that the denounced practices cause the company Orangina France serious and immediate harm necessitating the adoption of emergency measures; that, under these conditions, its request for interim measures should be rejected,  </w:t>
        <w:br/>
        <w:t xml:space="preserve">Decides:  </w:t>
        <w:br/>
        <w:t xml:space="preserve">Sole Article. - The request for interim measures submitted under number M 117 by the company Orangina France is rejected.  </w:t>
        <w:br/>
        <w:t xml:space="preserve">Deliberated, on the oral report of Mr. Christian Martin, by Messrs. Babeau, president, Cortesse and Jenny,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