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https://www.autoritedelaconcurrence.fr/fr/decision/relative-la-demande-de-revision-des-engagements-de-la-societe-tdf-rendus-obligatoires-par</w:t>
      </w:r>
    </w:p>
    <w:p>
      <w:r>
        <w:t>Pages translated : 19</w:t>
      </w:r>
    </w:p>
    <w:p/>
    <w:p>
      <w:r>
        <w:rPr>
          <w:b/>
        </w:rPr>
        <w:t>[Pages 1–3]</w:t>
      </w:r>
    </w:p>
    <w:p>
      <w:r>
        <w:t xml:space="preserve">FRENCH REPUBLIC  </w:t>
        <w:br/>
        <w:t xml:space="preserve">Decision No. 22-D-24 of December 6, 2022  </w:t>
        <w:br/>
        <w:t xml:space="preserve">regarding the request for revision of the commitments of the company TDF  </w:t>
        <w:br/>
        <w:t xml:space="preserve">made mandatory by Decision No. 15-D-09 of June 4, 2015*  </w:t>
        <w:br/>
        <w:t xml:space="preserve">The Competition Authority (section IV),  </w:t>
        <w:br/>
        <w:t xml:space="preserve">Having regard to the letter registered on March 17, 2021 under number 21/0027 R, by which the company TDF referred to the Competition Authority a request for revision of the commitments made by TDF and made mandatory by Decision No. 15-D-09 of June 4, 2015 concerning practices implemented in the mobile telephony equipment hosting sector;  </w:t>
        <w:br/>
        <w:t xml:space="preserve">Having regard to Book IV of the Commercial Code, and in particular Article L. 464-2;  </w:t>
        <w:br/>
        <w:t xml:space="preserve">Having regard to the procedural notice of March 2, 2009 concerning commitments in competition matters;  </w:t>
        <w:br/>
        <w:t xml:space="preserve">Having regard to Opinion No. 2021-1360 of July 8, 2021 of the Regulatory Authority for Electronic Communications, Posts and Press Distribution issued on the basis of Article R. 463-9 of the Commercial Code;  </w:t>
        <w:br/>
        <w:t xml:space="preserve">Having regard to the observations submitted by the company TDF and the Government Commissioner;  </w:t>
        <w:br/>
        <w:t xml:space="preserve">Having regard to the other documents in the file;  </w:t>
        <w:br/>
        <w:t xml:space="preserve">The representatives of the companies Altice France, Bouygues Telecom, Iliad, and Orange heard on the basis of the provisions of the second paragraph of Article L. 463-7 of the Commercial Code;  </w:t>
        <w:br/>
        <w:t xml:space="preserve">The rapporteur, the deputy general rapporteur, the representatives of the company TDF, and the Government Commissioner heard during the session of the Competition Authority on July 5, 2022;  </w:t>
        <w:br/>
        <w:t xml:space="preserve">Adopts the following decision:  </w:t>
        <w:br/>
        <w:t>* public version. Texts have been redacted, and some figures replaced by ranges, to preserve business secrecy.</w:t>
      </w:r>
    </w:p>
    <w:p>
      <w:r>
        <w:t xml:space="preserve">Summary1  </w:t>
        <w:br/>
        <w:t xml:space="preserve">By this decision, the Competition Authority (hereinafter "the Authority") examined the request of the company TDF for the lifting of all commitments it had made under Decision No. 15-D-09 of June 4, 2015 concerning practices implemented in the mobile telephony equipment hosting sector.  </w:t>
        <w:br/>
        <w:t xml:space="preserve">At the end of its examination, the Authority decides not to grant this request in the absence of elements establishing the disappearance of the competition concerns identified in Decision No. 15-D-09 and justifying the necessity to lift the relevant commitments before their term.  </w:t>
        <w:br/>
        <w:t>1 This summary is strictly informative. Only the reasons for the decision numbered below are authoritative.</w:t>
      </w:r>
    </w:p>
    <w:p>
      <w:r>
        <w:t xml:space="preserve">TABLE OF CONTENTS  </w:t>
        <w:br/>
        <w:t xml:space="preserve">I. FINDINGS ................................................................................ 4  </w:t>
        <w:br/>
        <w:t xml:space="preserve">A. PROCEDURAL BACKGROUND ...................................................................................4  </w:t>
        <w:br/>
        <w:t xml:space="preserve">B. THE REQUEST FOR REVIEW ....................................................................................5  </w:t>
        <w:br/>
        <w:t xml:space="preserve">1. CONTEXT OF TDF'S REQUEST ..................................................................5  </w:t>
        <w:br/>
        <w:t xml:space="preserve">a) Mobile telephony infrastructure operators .......................... 5  </w:t>
        <w:br/>
        <w:t xml:space="preserve">b) The market for hosting mobile telephony equipment .. 6  </w:t>
        <w:br/>
        <w:t xml:space="preserve">The distinction between different categories of sites ..........................................6  </w:t>
        <w:br/>
        <w:t xml:space="preserve">The distinction between urban areas and peri-urban and rural areas ........6  </w:t>
        <w:br/>
        <w:t xml:space="preserve">The distinction according to the provider of hosting services ...................................7  </w:t>
        <w:br/>
        <w:t xml:space="preserve">The distinction according to the modalities of hosting on pylon sites .................7  </w:t>
        <w:br/>
        <w:t xml:space="preserve">c) The competition concerns underlying Decision No. 15-D-09 .................................................. 8  </w:t>
        <w:br/>
        <w:t xml:space="preserve">d) The commitments made mandatory by the Authority ............................. 9  </w:t>
        <w:br/>
        <w:t xml:space="preserve">2. THE REQUEST FOR LIFTING OF COMMITMENTS .........................................................10  </w:t>
        <w:br/>
        <w:t xml:space="preserve">II. DISCUSSION ........................................................................................ 11  </w:t>
        <w:br/>
        <w:t xml:space="preserve">A. PRINCIPLES APPLICABLE TO REQUESTS FOR REVISION OF COMMITMENTS .....................................................................................................11  </w:t>
        <w:br/>
        <w:t xml:space="preserve">B. APPLICATION TO THE CASE AT HAND ........................................................................12  </w:t>
        <w:br/>
        <w:t xml:space="preserve">1. ON THE EXISTENCE OF A SIGNIFICANT CHANGE WITHIN THE MEANING OF ARTICLE L. 464-2 PARAGRAPH 2 OF THE COMMERCIAL CODE ..........................................................12  </w:t>
        <w:br/>
        <w:t xml:space="preserve">2. ON THE DISAPPEARANCE OF THE COMPETITION CONCERNS IDENTIFIED IN DECISION NO. 15-D-06 ................................................................................14  </w:t>
        <w:br/>
        <w:t xml:space="preserve">a) TDF's request ............................................................................... 14  </w:t>
        <w:br/>
        <w:t xml:space="preserve">b) Authority's analysis .............................................................................. 14  </w:t>
        <w:br/>
        <w:t xml:space="preserve">On the assessment of TDF's market shares ....................................................14  </w:t>
        <w:br/>
        <w:t xml:space="preserve">On other elements of assessment of TDF's market power .............18  </w:t>
        <w:br/>
        <w:t xml:space="preserve">DECISION ..................................................................................................... 19  </w:t>
        <w:br/>
        <w:t>3</w:t>
      </w:r>
    </w:p>
    <w:p>
      <w:r>
        <w:rPr>
          <w:b/>
        </w:rPr>
        <w:t>[Pages 4–6]</w:t>
      </w:r>
    </w:p>
    <w:p>
      <w:r>
        <w:t>I. FINDINGS</w:t>
      </w:r>
    </w:p>
    <w:p>
      <w:r>
        <w:t>A. PROCEDURAL BACKGROUND</w:t>
      </w:r>
    </w:p>
    <w:p>
      <w:r>
        <w:t>1. The company TDF (hereinafter "TDF") submitted a request to the Competition Authority, by letter registered on March 17, 2021, under number 21/0027 R, for a review of the commitments undertaken by TDF and made mandatory by decision no. 15-D-09 of June 4, 2015, concerning practices implemented in the mobile telephony equipment hosting sector.</w:t>
      </w:r>
    </w:p>
    <w:p>
      <w:r>
        <w:t>2. Relying on both point 46 a) of the procedural notice of March 2, 2009, relating to commitments in competition matters (hereinafter "the procedural notice") and point 4.3 of the commitments it had undertaken2, TDF requests the lifting of all these commitments, given the changes, which it qualifies as structural and lasting, that have occurred in the relevant market.</w:t>
      </w:r>
    </w:p>
    <w:p>
      <w:r>
        <w:t>3. The investigation services sent questionnaires to interested parties in June 2021, supplemented by hearings (hereinafter "the market test"), in order to question them, on the one hand, about the definition of the relevant market and, on the other hand, about the appropriateness of granting TDF's request.</w:t>
      </w:r>
    </w:p>
    <w:p>
      <w:r>
        <w:t>4. In accordance with Article R. 463-9 of the Commercial Code, the Authority forwarded TDF's request to the Regulatory Authority for Electronic Communications, Postal Services, and Press Distribution (hereinafter "ARCEP"), which issued its opinion on July 8, 20213.</w:t>
      </w:r>
    </w:p>
    <w:p>
      <w:r>
        <w:t>5. The investigation services prepared a report that was notified to TDF on January 31, 2022. In response, TDF submitted written observations on March 31, 2022, following which new investigative measures were initiated.</w:t>
      </w:r>
    </w:p>
    <w:p>
      <w:r>
        <w:t>6. A session was held on July 5, 2022, during which the representatives of TDF confirmed their initial request.</w:t>
      </w:r>
    </w:p>
    <w:p>
      <w:r>
        <w:t>2 "4.3. The commitments described in point 2, concerning contracts concluded after the adoption of the Authority's decision making them mandatory, and in point 3 are undertaken for a duration of eleven (11) years from the date of receipt of the notification to TDF of said decision. However, during this period, the Competition Authority and TDF may meet to discuss the relevance of maintaining these commitments until their expiration, particularly in light of the evolution of the competitive structure in the relevant market. This point is without prejudice to TDF's ability to submit a request to the Competition Authority for a review or removal of all or part of the commitments described in points 2 and 3, in accordance with the provisions of point 46 of the procedural notice of the Authority of March 2, 2009, relating to commitments in competition matters, especially if there is a significant change in the circumstances of law or fact relevant to assess the appropriateness of said commitments."</w:t>
      </w:r>
    </w:p>
    <w:p>
      <w:r>
        <w:t>3 Opinion no. 2021-1360 of ARCEP, pages 239 to 251.</w:t>
      </w:r>
    </w:p>
    <w:p>
      <w:r>
        <w:t>B. THE REQUEST FOR REVIEW</w:t>
      </w:r>
    </w:p>
    <w:p>
      <w:r>
        <w:t>1. CONTEXT OF TDF'S REQUEST</w:t>
      </w:r>
    </w:p>
    <w:p>
      <w:r>
        <w:t>a) Mobile telephony infrastructure operators</w:t>
      </w:r>
    </w:p>
    <w:p>
      <w:r>
        <w:t>7. Mobile telecommunication sites include, on the one hand, so-called "passive" infrastructures, generally consisting of a pylon or mast, a technical room, and technical equipment enabling their operation, and, on the other hand, so-called "active" mobile telephony infrastructures that allow the broadcasting of radio communication waves, which mobile operators remain owners of.</w:t>
      </w:r>
    </w:p>
    <w:p>
      <w:r>
        <w:t>8. The passive infrastructures used for hosting mobile telephony equipment are primarily owned or operated, either directly by mobile network operators (hereinafter "MNOs"), who may share them with other network operators, or by specialized infrastructure operators, such as TDF, generally referred to as "Tower Companies" or "TowerCo."</w:t>
      </w:r>
    </w:p>
    <w:p>
      <w:r>
        <w:t>9. An MNO generally has three options for hosting its mobile telephony equipment (active infrastructures).</w:t>
      </w:r>
    </w:p>
    <w:p>
      <w:r>
        <w:t>10. Firstly, it can resort to the hosting offer of a third-party MNO on one of its sites, as part of a passive infrastructure sharing arrangement, known as colocation or passive mutualization.</w:t>
      </w:r>
    </w:p>
    <w:p>
      <w:r>
        <w:t>11. The hosting offer of mobile telephony infrastructures can then come from a TowerCo based on pre-existing sites. In this context, the hosting contracts concluded by TowerCos with MNOs can be either (i) service hosting contracts, such as TDF's high point service contracts referred to by the Authority in its decision no. 15-D-09, or (ii) Master Services Agreements.</w:t>
      </w:r>
    </w:p>
    <w:p>
      <w:r>
        <w:t>12. The latter are most often concluded with a view to acquiring a portfolio of MNO sites by a TowerCo as part of so-called sale and lease back operations. At the end of this type of operation, the MNO transfers ownership of existing sites to a TowerCo and retains its installed mobile telephony equipment on these sites. The TowerCo then provides a hosting service for a long duration due to the significant investment required for such operations. This is why the hosting contracts offered to MNOs as part of sale and lease back operations are generally of a relatively long duration, ranging from 15 to 20 years4.</w:t>
      </w:r>
    </w:p>
    <w:p>
      <w:r>
        <w:t>13. Finally, an MNO may decide to build a site with the assistance of a TowerCo. In this case, the operation takes place within the framework of deployment agreements based on the MNO's commitment to transfer a certain number of sites to be built to a TowerCo (so-called build and lease back contracts – or build to suit). In such a case, the TowerCo commits to financing the construction projects of new sites, the development of which is entrusted to the MNO.</w:t>
      </w:r>
    </w:p>
    <w:p>
      <w:r>
        <w:t>4 See opinion no. 2021-1360 of ARCEP of July 8, 2021 (pages 250 and 251) and the responses to the market test from SFR (page 402), Bouygues Telecom (pages 424 (VC) and 739 (VNC)), and Free (pages 262 (VC) and 478 (VNC)).</w:t>
      </w:r>
    </w:p>
    <w:p>
      <w:r>
        <w:t>b) The market for hosting mobile telephony equipment</w:t>
      </w:r>
    </w:p>
    <w:p>
      <w:r>
        <w:t>14. In terms of hosting mobile telephony equipment, the Authority identified, in its decision no. 15-D-09 which is the subject of this request, several distinct markets based on the geographical areas concerned, the different categories of sites, and the providers of hosting services5. A distinction can also be made based on the type of contract governing the hosting on pylon sites.</w:t>
      </w:r>
    </w:p>
    <w:p>
      <w:r>
        <w:t>The distinction between different categories of sites</w:t>
      </w:r>
    </w:p>
    <w:p>
      <w:r>
        <w:t>15. There is a wide variety of sites that can accommodate active infrastructures, the main ones being dedicated pylons and rooftop terraces6. Water towers, silos, bell towers, civil engineering works, highway and electrical pylons can also host such equipment.</w:t>
      </w:r>
    </w:p>
    <w:p>
      <w:r>
        <w:t>16. The Authority considered, in its decision no. 15-D-09, that it is necessary to distinguish pylon sites from other types of passive infrastructures hosting mobile telephony equipment in peri-urban and rural areas, where rooftop terraces are virtually absent7. The Authority also made a distinction between the different types of infrastructures hosting mobile telephony equipment, notably based on the observation that market players believed that, regardless of the area considered, rooftop terraces were not substitutable for pylons.</w:t>
      </w:r>
    </w:p>
    <w:p>
      <w:r>
        <w:t>The distinction between urban areas and peri-urban and rural areas</w:t>
      </w:r>
    </w:p>
    <w:p>
      <w:r>
        <w:t>17. The decision-making practice of competition authorities distinguishes between two types of areas where passive infrastructures used for hosting mobile telephony equipment can be located: urban areas, on the one hand, where operators are compelled to install their equipment on the rooftops of buildings, and rural and peri-urban areas, on the other hand, where it is necessary to distinguish pylon sites from other types of infrastructures hosting mobile telephony equipment8.</w:t>
      </w:r>
    </w:p>
    <w:p>
      <w:r>
        <w:t>5 It should be noted that the Authority generally considers that passive infrastructures used for hosting mobile telephony equipment fall within a distinct market from that of passive infrastructures used for broadcasting audiovisual communication services.</w:t>
      </w:r>
    </w:p>
    <w:p>
      <w:r>
        <w:t>6 These sites, also referred to as "macro-sites," are to be distinguished from "micro-sites," which correspond to small sites, such as "small cells" or "Distributed Antenna Systems" (DAS), aimed at improving the coverage of an existing mobile telephony network in a limited or particularly frequented area.</w:t>
      </w:r>
    </w:p>
    <w:p>
      <w:r>
        <w:t>7 Decision no. 21-DCC-197 of October 25, 2021, concerning the exclusive control of Hivory by Cellnex France Group, paragraph 15.</w:t>
      </w:r>
    </w:p>
    <w:p>
      <w:r>
        <w:t>8 Decision no. 19-DCC-169 of August 30, 2019, concerning the exclusive control of Iliad 7 by Cellnex France Group and decision no. 15-D-09 of June 4, 2015, concerning practices implemented in the mobile telephony equipment hosting sector.</w:t>
      </w:r>
    </w:p>
    <w:p>
      <w:r>
        <w:rPr>
          <w:b/>
        </w:rPr>
        <w:t>[Pages 7–9]</w:t>
      </w:r>
    </w:p>
    <w:p>
      <w:r>
        <w:t xml:space="preserve">The distinction according to the provider of hosting services  </w:t>
        <w:br/>
        <w:t xml:space="preserve">18. In its decision no. 15-D-09 mentioned above, the Authority noted that due to their differences, the hosting services offered by TowerCos and those offered by MNOs within the framework of colocation fell under two distinct markets since, on the one hand, sharing was rarely implemented in practice and, on the other hand, the offers from these two categories of actors remained significantly different, both in terms of quality of service and actual availability or delivery time9. The passive infrastructure of an MNO used to host only the equipment of that same MNO, which falls under self-consumption, was therefore excluded from the market10.  </w:t>
        <w:br/>
        <w:t xml:space="preserve">19. The Authority subsequently considered, during the examination of the exclusive control of Iliad 7 by Cellnex France Groupe in 201911, and again in 2021 during the examination of the exclusive control of Hivory by Cellnex France Groupe12, that this delimitation remained relevant.  </w:t>
        <w:br/>
        <w:t xml:space="preserve">20. The Authority recalled, in this regard, that the hosting offers from TowerCos present significant differences compared to the offers from MNOs provided within the framework of colocation, from a technical perspective (time to make sites available, height or location of sites) and commercial perspective (more varied content of offers)13.  </w:t>
        <w:br/>
        <w:t xml:space="preserve">21. The analysis of the responses to the market tests14 confirms that these differences persist at the time of this decision.  </w:t>
        <w:br/>
        <w:t xml:space="preserve">22. If, as will be developed in paragraphs 54 and 55 below, operators are subject to obligations aimed at increasing their sharing offers, it has been found that in practice, the colocation that MNOs can offer essentially meets occasional needs and remains, in any case, marginal compared to the offer proposed by TowerCos, which is oriented towards hosting multiple operators at the same point.  </w:t>
        <w:br/>
        <w:t xml:space="preserve">23. It follows that, as in 2015, the relevant market for the analysis of the present request does not include the offer from MNOs provided within the framework of colocation.  </w:t>
        <w:br/>
        <w:t xml:space="preserve">The distinction according to the terms of hosting on pylon sites  </w:t>
        <w:br/>
        <w:t xml:space="preserve">24. It further emerges from the elements in the file that a distinction must be made between "classic" hosting contracts, such as the high point service contracts of TDF9 mentioned by the Authority in its decision no. 15-D-09 mentioned above, and Master Services Agreements described in paragraph 12 above.  </w:t>
        <w:br/>
        <w:t xml:space="preserve">25. As will be developed below, given their particular characteristics related, on the one hand, to their long duration and, on the other hand, to their financial purpose for MNOs, it cannot be considered that these contracts fall under the market for hosting on pylon sites as defined by the Authority in its decision no. 15-D-09 in the same way as the classic hosting contracts offered by traditional TowerCos, of which TDF is a part.  </w:t>
        <w:br/>
        <w:t xml:space="preserve">c) The competition concerns underlying decision no. 15-D-09  </w:t>
        <w:br/>
        <w:t xml:space="preserve">26. In its decision no. 15-D-09, the Authority made the commitments proposed by TDF mandatory in order to address the competition concerns raised by the investigation services. The Authority considered that TDF's practices of entering into long contracts, often renegotiated in advance, and providing for very limited early termination quotas accompanied by significant penalties, implemented by a company likely to be in a dominant position, could produce real or potential anti-competitive effects and, therefore, be contrary to the provisions of Articles 102 TFEU and L. 420-2 of the Commercial Code15.  </w:t>
        <w:br/>
        <w:t xml:space="preserve">27. The Authority found that at the time of the facts, there were only two ways for TowerCos to compete with TDF. The first was to respond to the MNO's call for tenders when a framework contract was coming to an end (a mode referred to as competition "for the market"). The second relied on canvassing MNOs in order to benefit from early termination clauses (a mode referred to as competition "in the market").  </w:t>
        <w:br/>
        <w:t xml:space="preserve">28. However, the Authority considered that neither of these two modes of competition allowed for the free play of competition to operate satisfactorily, given the significant duration of TDF's framework contracts, coupled with insufficient annual exit options.  </w:t>
        <w:br/>
        <w:t xml:space="preserve">29. The Authority thus noted, on the one hand, that competition for the market was too spaced out in time to allow an alternative operator to develop at a sufficient pace and, on the other hand, that competition in the market was constrained by the insufficiency of annual exit options from TDF's contracts – which were, moreover, accompanied by significant penalties16.  </w:t>
        <w:br/>
        <w:t xml:space="preserve">30. It concluded that the cumulative effect of the contractual clauses of TDF's framework contracts, relating to the duration of the contracts, early exit penalties, as well as very limited early exit quotas, was likely to lock the market, even producing effects of exclusion of competitors17.  </w:t>
        <w:br/>
        <w:t xml:space="preserve">15 Decision no. 15-D-09 of June 4, 2015, paragraph 91.  </w:t>
        <w:br/>
        <w:t xml:space="preserve">16 Decision no. 15-D-09 of June 4, 2015, paragraph 85.  </w:t>
        <w:br/>
        <w:t xml:space="preserve">17 Decision no. 15-D-09 of June 4, 2015, paragraph 90.  </w:t>
        <w:br/>
        <w:t xml:space="preserve">d) The commitments made mandatory by the Authority  </w:t>
        <w:br/>
        <w:t xml:space="preserve">31. In order to address the aforementioned competition concerns, TDF proposed commitments for a fixed duration of eleven years. The Authority made them mandatory in its decision no. 15-D-09, until June 3, 2026.  </w:t>
        <w:br/>
        <w:t xml:space="preserve">32. TDF thus committed to:  </w:t>
        <w:br/>
        <w:t xml:space="preserve">− limit the duration of its future framework contracts for hosting to a duration of ten years;  </w:t>
        <w:br/>
        <w:t xml:space="preserve">− increase the early termination capacity of sites for MNO clients to 4% of the total number of pylon sites covered by the contracts and allow the carryover of unused termination options from year to year up to 10%;  </w:t>
        <w:br/>
        <w:t xml:space="preserve">− limit the amount of the lump-sum and liberating indemnity for ongoing and future contracts to three months' rent.  </w:t>
        <w:br/>
        <w:t xml:space="preserve">33. Sale and leaseback contracts were expressly excluded from the scope of the commitments due to their particular characteristics18. In this regard, the Authority notably noted the 20-year duration of the hosting contract between Bouygues Telecom and FPS Towers19 concluded in exchange for the transfer protocol of 2,045 pylon sites owned by Bouygues Telecom, which is particularly long, while the duration of "classic" hosting contracts, that is to say, those not involving site transfers, is generally limited to 10 or 12 years20.  </w:t>
        <w:br/>
        <w:t xml:space="preserve">34. Build to suit and build and lease back contracts were not expressly considered by the Authority in the delimitation of the relevant markets as they were uncommon in 2015.  </w:t>
        <w:br/>
        <w:t xml:space="preserve">35. However, the Authority notes that these contracts share common characteristics with sale and leaseback contracts. Indeed, whether it is to acquire an existing portfolio of sites as part of a sale and leaseback operation or to financially assume their construction as part of deployment agreements, both types of contracts require significant investments from the TowerCo considering entering into them. The TowerCo will therefore only be able to amortize this investment if the acquired or constructed sites generate sufficient revenues in return. Thus, in order to benefit from some visibility on the revenues that will be generated by the sites concerned, the TowerCo enters into hosting contracts of sufficiently long duration with the relevant MNOs.  </w:t>
        <w:br/>
        <w:t xml:space="preserve">36. Build to suit and build and lease back contracts also allow the MNO entering into them to transfer investment expenses related to the costs of the sites in question to the contracting TowerCo. These two types of operations thus have, as noted by ARCEP in its opinion rendered in the context of this investigation, a similar financial purpose for MNOs, namely the transfer of investment expenses to the TowerCo and the deleveraging of the MNO21. It is therefore appropriate to consider, like the contracts of  </w:t>
        <w:br/>
        <w:t xml:space="preserve">18 Points 2.1 and 3.1 of the commitments made mandatory by decision no. 15-D-09 of June 4, 2015.  </w:t>
        <w:br/>
        <w:t xml:space="preserve">19 Complainant company that initiated the referral leading to decision no. 15-D-09 of June 4, 2015, which became ATC France in 2016.  </w:t>
        <w:br/>
        <w:t xml:space="preserve">20 Decision no. 15-D-09 of June 4, 2015, paragraphs 7 and 82.  </w:t>
        <w:br/>
        <w:t>21 Opinion no. 2021-1360 of ARCEP of July 8, 2021, pages 244 and 245.</w:t>
      </w:r>
    </w:p>
    <w:p>
      <w:r>
        <w:rPr>
          <w:b/>
        </w:rPr>
        <w:t>[Pages 10–12]</w:t>
      </w:r>
    </w:p>
    <w:p>
      <w:r>
        <w:t>sale and lease back, that the build to suit and build and lease back contracts do not, in principle, fall within the scope of the commitments made mandatory by decision no. 15-D-09.</w:t>
      </w:r>
    </w:p>
    <w:p>
      <w:r>
        <w:t>37. The Authority considered that the commitments proposed by TDF were likely to address the identified competition concerns. The Authority noted, first, that they allowed competition in the market to operate fully at each contract renewal, particularly given the limit on the duration of contracts set at ten years. Secondly, the Authority considered that the commitments also sufficiently improved competition in the market during partial exits during the execution of the contract, due to the limitation of early exit penalties and the increase in early termination quotas.</w:t>
      </w:r>
    </w:p>
    <w:p>
      <w:r>
        <w:t>38. Regarding, in particular, the duration of the commitments, the Authority considered that the eleven-year period proposed by TDF was necessary for them to produce sufficiently significant effects on the relevant market, given the ten-year renewal cycle of contracts. However, the Authority accepted that the commitments contain a clause stating: "However, during this period, the Competition Authority and TDF may meet to discuss the relevance of maintaining these commitments until their expiration, particularly in light of the evolution of the competitive structure in the relevant market. This point is without prejudice to TDF's ability to submit a request for revision to the Competition Authority […] in accordance with point 46 of the Authority's procedural notice of March 2, 2009 […]" (clause 4.3).</w:t>
      </w:r>
    </w:p>
    <w:p>
      <w:r>
        <w:t>2. THE REQUEST FOR LIFTING OF COMMITMENTS</w:t>
      </w:r>
    </w:p>
    <w:p>
      <w:r>
        <w:t>39. TDF essentially argues that its commitments should be fully lifted, given the "structural transformations" in the sector. The operator claims that it is no longer in a dominant position in the market for hosting mobile telephony equipment on pylon sites. The maintenance of the commitments made in 2015 would, therefore, according to TDF, now be devoid of purpose in the current market context and would constitute an obstacle to the establishment of fair competition conditions among operators.</w:t>
      </w:r>
    </w:p>
    <w:p>
      <w:r>
        <w:t>40. Regarding, first, the changes that have occurred in the market, TDF argues that the evolution of MNO needs, both financial (numerous investments to be made)22 and operational (sharing)23, since 2015, has led to the emergence of new powerful competitors.</w:t>
      </w:r>
    </w:p>
    <w:p>
      <w:r>
        <w:t>41. Thus, according to the operator, while there were only two TowerCos in the market when the Authority analyzed the mobile telephony equipment hosting sector in 2015, namely TDF and FPS Towers (which became ATC France), there are now five (Hivory, ATC France, Cellnex, Phoenix France Infrastructures, and TDF) and soon six with the announced creation of Orange TowerCo24.</w:t>
      </w:r>
    </w:p>
    <w:p>
      <w:r>
        <w:t>42. In this regard, TDF considers that these players operate in the market on the same basis as the historical TowerCos. Other types of players would also, according to TDF, be newly active in the relevant market (Valocîme, Via Veis (Vinci), Synérail (SNCF), or Artéria (RTE))25.</w:t>
      </w:r>
    </w:p>
    <w:p>
      <w:r>
        <w:t>43. Secondly, regarding its position in the market, TDF argues that due to the structural changes in the mobile telephony equipment hosting sector previously mentioned, its market shares have significantly decreased, as has its market power. Thus, while it held a significant market share according to the narrowest market definition adopted by the Authority in 2015 – namely, the hosting of mobile telephony equipment on pylon sites, excluding the MNO pylons operated in self-production – TDF would currently be positioned below the threshold of presumption of dominance, regardless of the market scope considered (market limited to hosting on pylon sites of TowerCos or broader delimitation including the offer of pylons from MNOs and other players, or all sites combined excluding rooftop sites)26.</w:t>
      </w:r>
    </w:p>
    <w:p>
      <w:r>
        <w:t>44. Thirdly, TDF argues that maintaining the commitments in the current context would be pointless as they have lost all relevance. Initially intended to put an end to a potential abuse of dominant position, TDF considers that such abuse is now impossible given, on the one hand, the loss of its dominant position and, on the other hand, the strength of its competitors27.</w:t>
      </w:r>
    </w:p>
    <w:p>
      <w:r>
        <w:t>45. Lastly, TDF alleges that maintaining the commitments would constitute an obstacle to the establishment of fair competition conditions. The commitments would no longer be, according to it, both necessary and proportionate since, in particular, MNOs would be not only customers but also powerful competitors in the relevant market28. TDF adds that maintaining the commitments would be contrary to the principle of neutrality of corrective measures and could lead to a breach of equality in competition, given its subjection to unjustified contractual constraints29.</w:t>
      </w:r>
    </w:p>
    <w:p>
      <w:r>
        <w:t>II. Discussion</w:t>
      </w:r>
    </w:p>
    <w:p>
      <w:r>
        <w:t>A. THE PRINCIPLES APPLICABLE TO REQUESTS FOR REVISION OF COMMITMENTS</w:t>
      </w:r>
    </w:p>
    <w:p>
      <w:r>
        <w:t xml:space="preserve">46. Paragraph 2 of Article L. 464-2 of the Commercial Code provides, with regard to commitments, that the Authority: </w:t>
        <w:br/>
        <w:t>"may, on its own initiative or at the request of the author of the referral, the minister responsible for the economy, or any company or association of companies with a legitimate interest, modify, supplement the commitments it has accepted or terminate them:</w:t>
        <w:br/>
        <w:t>a) if one of the facts on which the decision on commitments is based has undergone a significant change, or</w:t>
        <w:br/>
        <w:t>b) if the decision on commitments is based on incomplete, inaccurate, or misleading information provided by the parties to the procedure."</w:t>
      </w:r>
    </w:p>
    <w:p>
      <w:r>
        <w:t>47. Under point 46 of the aforementioned procedural notice:</w:t>
        <w:br/>
        <w:t>"It is up to the Authority to assess the necessity of revising the commitments and of an ex officio referral, in light of the changes that have occurred in the relevant market. The Authority may be seized of behaviors that have been the subject of a decision on commitments, at the request of the referrer, the minister of the economy, any other company with a legitimate interest, or may act on its own initiative:</w:t>
        <w:br/>
        <w:t>a) if one of the facts on which the decision is based undergoes a significant change;</w:t>
        <w:br/>
        <w:t>b) if the companies concerned violate their commitments, or</w:t>
        <w:br/>
        <w:t>c) if the decision on commitments is based on incomplete, inaccurate, or distorted information provided by the parties to the procedure."</w:t>
      </w:r>
    </w:p>
    <w:p>
      <w:r>
        <w:t>48. It follows from paragraph 2 of Article L. 464-2 of the Commercial Code that the Authority has broad discretion regarding the appropriateness of granting or not granting a request for revision of commitments. Indeed, given the nature and overall economy of the procedure leading to the acceptance of commitments for a specified duration, there can be no acquired right to their revision before the term proposed by the parties and made mandatory by the Authority.</w:t>
      </w:r>
    </w:p>
    <w:p>
      <w:r>
        <w:t>49. Therefore, in the event that the revision of commitments is requested due to a significant change, the demonstration of such a change does not, by itself, give rise to the revision of commitments. It is also up to the company invoking it to establish, based on sufficiently precise and detailed elements, that the invoked change leads to the effective disappearance, as of the date of this decision, of all the identified competition concerns in the decision that made these commitments mandatory.</w:t>
      </w:r>
    </w:p>
    <w:p>
      <w:r>
        <w:t>B. APPLICATION TO THE CASE AT HAND</w:t>
      </w:r>
    </w:p>
    <w:p>
      <w:r>
        <w:t>1. ON THE EXISTENCE OF A SIGNIFICANT CHANGE WITHIN THE MEANING OF ARTICLE L. 464-2 PARAGRAPH 2 OF THE COMMERCIAL CODE</w:t>
      </w:r>
    </w:p>
    <w:p>
      <w:r>
        <w:t>50. The market for hosting mobile telephony equipment has undergone several notable developments since decision no. 15-D-09.</w:t>
      </w:r>
    </w:p>
    <w:p>
      <w:r>
        <w:t>51. First, the movement of divestiture of passive infrastructures held by MNOs in favor of TowerCos described in paragraph 12 above, initiated in 2012, has intensified since 201530, thus allowing MNOs to have new sources of financing. By divesting all or part of their passive infrastructures to TowerCos, MNOs indeed have both financial resources from the very sale of these infrastructures and transform fixed costs (investment expenditures in pylons in particular) into variable costs.</w:t>
      </w:r>
    </w:p>
    <w:p>
      <w:r>
        <w:rPr>
          <w:b/>
        </w:rPr>
        <w:t>[Pages 13–15]</w:t>
      </w:r>
    </w:p>
    <w:p>
      <w:r>
        <w:t>variable costs as they lease the infrastructures to newly created TowerCos instead of financing them entirely, thereby reducing their debt ratio. The resources thus freed up by the MNOs allow them to finance, in particular, the deployment of their 4G and 5G networks.</w:t>
      </w:r>
    </w:p>
    <w:p>
      <w:r>
        <w:t>52. This movement has led to an increase in the number of active TowerCos in the metropolitan French market since 2015: in addition to TDF and FPS Towers (which became ATC France in 2016), the market now also includes Cellnex France31, On Tower France (OTF)32, Hivory33, as well as Phoenix France Infrastructures (PFI), controlled by Phoenix Tower International (PTI)34. In February 2021, Orange also announced the creation of its European TowerCo, TOTEM, whose French subsidiary, Totem France, was launched in November 2021 with the aim of operating the infrastructures previously owned by Orange.</w:t>
      </w:r>
    </w:p>
    <w:p>
      <w:r>
        <w:t>53. Furthermore, Cellnex Telecom took exclusive control of Hivory35 in October 2021. Iliad announced in May 2021 that it plans to sell its shares in the company On Tower France.</w:t>
      </w:r>
    </w:p>
    <w:p>
      <w:r>
        <w:t>54. Secondly, the site needs of operators have evolved since 2015, particularly due to new deployment obligations set by their frequency usage authorizations. In particular, since the New Deal [nouvelle donne] mobile36 that occurred in 2018, mobile operators are required to deploy a significant number of new mobile sites. To this end, the public authorities have imposed a share of passive sharing among operators.</w:t>
      </w:r>
    </w:p>
    <w:p>
      <w:r>
        <w:t>55. In its opinion issued in the context of the present request for review, ARCEP detailed the deployment obligations to which MNOs are subject. It notably points out that under the "targeted coverage scheme, 5,000 new areas, identified by order of the minister responsible for electronic communications based on feedback from the territories, are to be covered by operator, through the installation of new sites, with varying degrees of sharing; In areas where the four operators are designated by order and where none of them provides, as of the date of publication of the order, mobile service at a level of "good coverage," the operators are subject to a network sharing obligation (sharing of infrastructures and active equipment); In other areas, the operators designated by order are required to implement at least a sharing of infrastructures […]"37 (emphasis added).</w:t>
      </w:r>
    </w:p>
    <w:p>
      <w:r>
        <w:t>56. Given the developments observed, on the one hand, regarding the transfer of pylon sites by MNOs to the benefit of TowerCos and, on the other hand, the operational needs of MNOs, the Authority considers that the existence of a significant change within the meaning of paragraph 2 of Article L. 464-2 of the Commercial Code justifying the examination of the request for review of its commitments is established.</w:t>
      </w:r>
    </w:p>
    <w:p>
      <w:r>
        <w:t>2. ON THE DISAPPEARANCE OF COMPETITION CONCERNS IDENTIFIED IN DECISION NO. 15-D-06</w:t>
      </w:r>
    </w:p>
    <w:p>
      <w:r>
        <w:t>a) TDF's request</w:t>
      </w:r>
    </w:p>
    <w:p>
      <w:r>
        <w:t>57. As recalled in paragraphs 48 and 49 above, the revision or removal of commitments requires TDF to demonstrate, in addition to the existence of a "significant change" within the meaning of Article L. 464-2 of the Commercial Code, the disappearance of all competition concerns based on which they were made mandatory.</w:t>
      </w:r>
    </w:p>
    <w:p>
      <w:r>
        <w:t>58. In this case, this requirement is all the more pressing as TDF itself proposed to extend the duration of its commitments from six to eleven years, in order to cover a complete cycle of contracts and a first renewal. In its decision no. 15-D-09, the Authority noted that "this duration, unusually long for behavioral commitments, is necessary to achieve significant effects on the relevant market which evolves very slowly through contracts that are renewed only after ten years, on average"38.</w:t>
      </w:r>
    </w:p>
    <w:p>
      <w:r>
        <w:t>59. TDF claims to have met the standard of proof required to obtain the revision of the commitments to the extent that the structural market changes it invokes would exclude any possibility that it is in a dominant position, which would, according to it, lift all the identified competition concerns in the commitment decision.</w:t>
      </w:r>
    </w:p>
    <w:p>
      <w:r>
        <w:t>60. To this end, TDF produces several assessments indicating that, in the market for hosting on pylon sites, as defined by the Authority in its aforementioned decision no. 15-D-09, its market share would now be [30-40]% in terms of the number of active pylons and [30-40]% in terms of the number of points of presence39. TDF concludes that such market share levels exclude the existence of a dominant position.</w:t>
      </w:r>
    </w:p>
    <w:p>
      <w:r>
        <w:t>b) Authority's analysis</w:t>
      </w:r>
    </w:p>
    <w:p>
      <w:r>
        <w:t>61. In order to determine whether the elements produced by TDF in support of its request attest to the disappearance of the competition concerns identified in decision no. 15-D-09, the Authority first focused on assessing TDF's market shares in the relevant market and then examined other elements to assess TDF's market power.</w:t>
      </w:r>
    </w:p>
    <w:p>
      <w:r>
        <w:t>On the assessment of TDF's market shares</w:t>
      </w:r>
    </w:p>
    <w:p>
      <w:r>
        <w:t>62. The definition of a market, both in terms of products and its geographical dimension, must allow for the determination of whether there are real competitors capable of influencing the behavior of the companies involved or preventing them from acting independently of the pressures exerted by effective competition. It is in this perspective that the definition of the market allows, among other things, for the calculation of market shares, which provide useful information regarding market power for the assessment of a dominant position40.</w:t>
      </w:r>
    </w:p>
    <w:p>
      <w:r>
        <w:t>63. According to consistent decision-making practice and case law, extremely high market shares constitute, in themselves, except in exceptional circumstances, proof of the existence of a dominant position. This is particularly the case for a market share of 50%41.</w:t>
      </w:r>
    </w:p>
    <w:p>
      <w:r>
        <w:t>64. In this case, the Authority notes that the market share assessment proposed by TDF is conducted on a national market encompassing all areas. As such, this assessment is carried out on a scope that is too broad in light of the relevant market identified in paragraphs 14 and following, limited in this case to peri-urban and rural areas.</w:t>
      </w:r>
    </w:p>
    <w:p>
      <w:r>
        <w:t>65. Furthermore, TDF's assessment relies on the inclusion, in the scope of the market for hosting on pylon sites, of all sites transferred by MNOs to the new TowerCos42 under sale and leaseback contracts.</w:t>
      </w:r>
    </w:p>
    <w:p>
      <w:r>
        <w:t>66. Given the significant number of sites concerned43, such an approach leads to a mechanical increase in the size of the market for hosting on pylon sites beyond the limits set in the decision accepting the commitments.</w:t>
      </w:r>
    </w:p>
    <w:p>
      <w:r>
        <w:t>67. In this decision, indeed, the "self-produced" sites – many of which have since been transferred to TowerCos – were excluded from the market to the extent that, on the one hand, they were essentially "self-consumed" by the MNOs and, on the other hand, the residual offer of sharing proposed by the MNOs was insufficiently substitutable for that of the TowerCos44.</w:t>
      </w:r>
    </w:p>
    <w:p>
      <w:r>
        <w:t>68. According to TDF, such exclusion would no longer be justified once the sites are transferred to TowerCos and managed by them. TDF also points out that TowerCos operate in the hosting market on the same basis as historical TowerCos and aim to develop sharing.</w:t>
      </w:r>
    </w:p>
    <w:p>
      <w:r>
        <w:t>69. However, TDF's analysis cannot be accepted as it does not take into account the economic and legal characteristics of the sale and leaseback contracts concluded by the MNOs and the TowerCos.</w:t>
      </w:r>
    </w:p>
    <w:p>
      <w:r>
        <w:t>70. Indeed, the sale and leaseback contracts stipulate that the transfer of their assets by the MNOs occurs in exchange for the conclusion of a service provision contract.</w:t>
      </w:r>
    </w:p>
    <w:p>
      <w:r>
        <w:rPr>
          <w:b/>
        </w:rPr>
        <w:t>[Pages 16–18]</w:t>
      </w:r>
    </w:p>
    <w:p>
      <w:r>
        <w:t>hosting by the TowerCo45 of long duration, averaging between 15 and 20 years (see paragraph 12 above).</w:t>
      </w:r>
    </w:p>
    <w:p>
      <w:r>
        <w:t>71. As a result, the sites transferred under a sale and leaseback contract are not fully available on the market as they remain largely reserved for the transferring MNO and, as such, are "captive" to it.</w:t>
      </w:r>
    </w:p>
    <w:p>
      <w:r>
        <w:t>72. In this regard, the Authority notes, firstly, that a substantial portion of the high points held by the new TowerCo comes from the acquisition of high points from MNOs under sale and leaseback contracts46 and, secondly, that these high points are predominantly leased to the transferring MNO (see paragraphs 51 above and 76 below).</w:t>
      </w:r>
    </w:p>
    <w:p>
      <w:r>
        <w:t>73. This captive share is not available in the short or medium term on the market, and therefore does not exert (or exerts little) competitive pressure on the hosting offer provided by the TowerCo to all MNOs and is thus not substitutable for it.</w:t>
      </w:r>
    </w:p>
    <w:p>
      <w:r>
        <w:t>74. The Authority also observes that in its decision to authorize the takeover of INWIT by Telecom Italia and Vodafone on March 6, 2020, the Commission adopted a similar approach, excluding from the relevant market not only the "captive" sales of operators but also the sales between each other47. This is also the reason why the Authority excluded, in the commitments decision, the sale and leaseback contracts48. By extension, and following the same logic, build-to-suit agreements must also be excluded from the scope.</w:t>
      </w:r>
    </w:p>
    <w:p>
      <w:r>
        <w:t>75. In this context, and contrary to what TDF argues in the economic study attached to its request for lifting the commitments, the Authority considers that there is no need to take into account, in the calculation of TDF's market shares in the market for hosting services on pylon sites, the share of these sites subject to sale and leaseback contracts with the TowerCo.</w:t>
      </w:r>
    </w:p>
    <w:p>
      <w:r>
        <w:t>76. Such an analysis can be conducted at the level of the points of presence located on the pylon sites. Indeed, each point of presence corresponds to a physical hosting service of mobile equipment, so that this level allows to delineate the market for hosting on pylon sites to only those points of presence effectively offered to any MNO on the market.</w:t>
      </w:r>
    </w:p>
    <w:p>
      <w:r>
        <w:t>77. Since TDF did not conduct such an analysis, the Authority concludes that its request for review can be rejected for lack of evidence proving the effective disappearance of the competition concerns.</w:t>
      </w:r>
    </w:p>
    <w:p>
      <w:r>
        <w:t>78. The Authority has assessed TDF's market shares and finds that they remain indicative of a dominant position. To perform this calculation, the Authority relied on the data from the National Frequency Agency ("ANFR") dated October 2020, publicly available and used by TDF in support of its request49.</w:t>
      </w:r>
    </w:p>
    <w:p>
      <w:r>
        <w:t>79. The Authority first compared this data with the ANFR data from October 2022 to take into account the sale and leaseback contracts50 which, although already concluded at the time of TDF's request for review, were not yet reflected in the ANFR data accessible in October 202051.</w:t>
      </w:r>
    </w:p>
    <w:p>
      <w:r>
        <w:t>80. The Authority then cross-referenced this data with INSEE data to identify the assets located in peri-urban and rural areas52.</w:t>
      </w:r>
    </w:p>
    <w:p>
      <w:r>
        <w:t>81. Within this scope, the Authority then considered that all pylons transferred by an MNO since 2015, and then leased by a TowerCo, were done so via sale and leaseback contracts53. This allowed for the consideration, on the relevant pylons, of only the points of presence leased to an operator other than the transferring MNO, which can be presumed to be in the context of a standard hosting service.</w:t>
      </w:r>
    </w:p>
    <w:p>
      <w:r>
        <w:t>82. Following this methodology, TDF's market share in points of presence in the market for hosting on pylon sites in peri-urban and rural areas was [40-50]%54 at the end of 2020. This share remained stable as it stands at [40-50]% in 202255. In any case, TDF's market shares are [CONF] significantly higher than those of its closest competitor56.</w:t>
      </w:r>
    </w:p>
    <w:p>
      <w:r>
        <w:t>49 Annex 2 of its request for review, references 33 and following.</w:t>
      </w:r>
    </w:p>
    <w:p>
      <w:r>
        <w:t>50 To identify the sale and leaseback contracts, it was assumed that an asset transferred by an MNO to a TowerCo and then used by that same MNO following the transfer was subject to a sale and leaseback contract. Following this approach, an asset transferred by an MNO that is not subsequently used by that same operator is not considered to have been subject to a sale and leaseback contract. Conversely, new pylons constructed after October 2020 and not transferred to a TowerCo were not taken into account in the calculation.</w:t>
      </w:r>
    </w:p>
    <w:p>
      <w:r>
        <w:t>51 This reprocessing aligns with the reasoning adopted by TDF in its request for review of its commitments. Since the ANFR data available in October 2020 did not account for certain transfers of pylons already implemented, TDF made adjustments to include them.</w:t>
      </w:r>
    </w:p>
    <w:p>
      <w:r>
        <w:t>52 Source: "France and its territories," 2021 edition, FET2021-D4 database, available for free download on the INSEE website: https://www.insee.fr/fr/statistiques/5039991?sommaire=5040030. The adjustments made by TDF in the context of its request were carried out at the stage of aggregated results, and did not allow for knowledge of the extent of these transfers in each type of area (i.e., urban, peri-urban, or rural areas).</w:t>
      </w:r>
    </w:p>
    <w:p>
      <w:r>
        <w:t>53 The oldest data made available in open data by the ANFR dates back to April 2015. This date has the advantage of allowing the reconstruction of the ownership history of each site since the publication of decision no. 15-D-09 of June 4, 2015.</w:t>
      </w:r>
    </w:p>
    <w:p>
      <w:r>
        <w:t>54 This share rises to [40-50]% across all areas, a figure significantly higher than TDF's estimate, which reports a market share of [30-40]% in terms of the number of points of presence across the entire national territory. See reference 12 and note from TDF's economic advisors on the methodology for calculating market shares in the mobile operators' antenna hosting sector, reference 41.</w:t>
      </w:r>
    </w:p>
    <w:p>
      <w:r>
        <w:t>55 This market share calculation includes new points of presence used by other MNOs than the one that transferred the pylon created between October 2020 and October 2022. Conversely, as specified in footnote 50, it excludes points of presence on pylons constructed since October 2020 that have not been subject to any transfer.</w:t>
      </w:r>
    </w:p>
    <w:p>
      <w:r>
        <w:t>56 The market share of Cellnex/Hivory is [15-25]% in the market for hosting on pylon sites across all areas and [15-25]% in the segment of hosting on pylon sites that includes only points located in peri-urban and rural areas.</w:t>
      </w:r>
    </w:p>
    <w:p>
      <w:r>
        <w:t>On other elements assessing TDF's market power</w:t>
      </w:r>
    </w:p>
    <w:p>
      <w:r>
        <w:t>83. TDF does not produce, in support of its request, any other element demonstrating the certain disappearance, before the end of its commitments, of the competition concerns identified in the aforementioned decision no. 15-D-09.</w:t>
      </w:r>
    </w:p>
    <w:p>
      <w:r>
        <w:t>84. Several factors are likely to increase competitive pressure on TDF, as it points out, particularly the "strong potential for growth of colocation"57 of the sites (existing or to be constructed) and the absence of constraints on MNOs to relocate or deploy new sites, particularly under build-to-suit contracts.</w:t>
      </w:r>
    </w:p>
    <w:p>
      <w:r>
        <w:t>85. However, it appears from the market test that the average colocation rate of MNOs remains quite low58 and that the potential for colocation of MNOs is limited, as MNOs have sized their sites primarily to meet their own needs59. It follows that the potential for colocation of TowerCos – whose growth has been built through the acquisition of high points from MNOs – is also limited. In any case, TDF itself notes, regarding sharing, that "the sites of MNOs massively acquired by competing TowerCos following their outsourcing strategy are still little shared"60.</w:t>
      </w:r>
    </w:p>
    <w:p>
      <w:r>
        <w:t>86. Regarding the sites intended to be constructed under deployment agreements (build to suit), there is significant uncertainty related to the effectiveness and timing of their deployment, as the Authority noted in the decision authorizing the exclusive takeover of Hivory by Cellnex France Groupe61. It follows that the number of new points of presence that will actually be brought to market by TowerCos for the benefit of all operators before the end of TDF's commitments presents too much uncertainty to conclude the absence of a dominant position on the part of TDF.</w:t>
      </w:r>
    </w:p>
    <w:p>
      <w:r>
        <w:t>87. Therefore, TDF's claims regarding "market dynamics" are too general, imprecise, and forward-looking to dismiss the persistence of a dominant position and the competition concerns identified in the aforementioned commitments decision no. 15-D-09.</w:t>
      </w:r>
    </w:p>
    <w:p>
      <w:r>
        <w:t>88. It follows from the above that TDF's market shares and the other elements analyzed above regarding TDF's market power do not allow for the exclusion of the existence of a dominant position of the operator in the market for hosting on pylon sites.</w:t>
      </w:r>
    </w:p>
    <w:p>
      <w:r>
        <w:t>89. In light of the above, there is no reason to lift, before their term, the commitments made mandatory by the Authority in its decision no. 15-D-09.</w:t>
      </w:r>
    </w:p>
    <w:p>
      <w:r>
        <w:rPr>
          <w:b/>
        </w:rPr>
        <w:t>[Pages 19–19]</w:t>
      </w:r>
    </w:p>
    <w:p>
      <w:r>
        <w:t>DECISION</w:t>
      </w:r>
    </w:p>
    <w:p>
      <w:r>
        <w:t>Single Article: The requests of TDF for the lifting of the commitments made mandatory by decision no. 15-D-09 of June 4, 2015, are rejected.</w:t>
      </w:r>
    </w:p>
    <w:p>
      <w:r>
        <w:t>Deliberated on the oral report of Ms. Frédérique Laporte and the intervention of Ms. Pascale Déchamps, deputy general rapporteur, by Mr. Henri Piffaut, vice-president, session president, Ms. Béatrice Bourgeois-Machureau, Ms. Julie Burguburu, Mr. Savinien Grignon-Dumoulin, Mr. Alexandre Menais, and Mr. Jérôme Pouyet, members.</w:t>
      </w:r>
    </w:p>
    <w:p>
      <w:r>
        <w:t>The session secretary, The session president,</w:t>
      </w:r>
    </w:p>
    <w:p>
      <w:r>
        <w:t>Caroline Orsel Henri Piffaut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