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https://www.autoritedelaconcurrence.fr/fr/decision-de-controle-des-concentrations/relative-la-fusion-de-fait-entre-cinq-bailleurs-sociaux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21-DCC-10 of January 14, 2021</w:t>
        <w:br/>
        <w:t>regarding the de facto merger between five social landlords in the Île-de-France region</w:t>
        <w:br/>
        <w:t>The Competition Authority,</w:t>
        <w:br/>
        <w:t>Having regard to the complete notification file sent to the mergers department on</w:t>
        <w:br/>
        <w:t>December 22, 2020, concerning the de facto merger between Gennevilliers Habitat, IDF Habitat, Malakoff</w:t>
        <w:br/>
        <w:t>Habitat, the OPH of Ivry-sur-Seine, and Nanterre Habitat formalized by a shareholders' agreement dated</w:t>
        <w:br/>
        <w:t>December 24, 2020;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transmitted by the notifying parties during the investigation;</w:t>
        <w:br/>
        <w:t>Adopts the following decision:</w:t>
        <w:br/>
        <w:t>1. The notified operation consists of the de facto merger between five independent social landlords</w:t>
        <w:br/>
        <w:t>operating in the Île-de-France region (Gennevilliers Habitat, IDF Habitat, Malakoff Habitat,</w:t>
        <w:br/>
        <w:t>the OPH of Ivry-sur-Seine, and Nanterre Habitat), initiated as part of their obligation to</w:t>
        <w:br/>
        <w:t>consolidate imposed by Law No. 2018-1021 of November 23, 2018, relating to the evolution of</w:t>
        <w:br/>
        <w:t>housing, planning, and digital technology, known as the "Elan" Law. This operation constitutes a</w:t>
        <w:br/>
        <w:t>concentration operation within the meaning of Article L. 430-1 of the Commercial Code. Given the</w:t>
        <w:br/>
        <w:t>turnover generated by the companies concerned, the operation does not fall under the</w:t>
        <w:br/>
        <w:t>jurisdiction of the European Union. However, the relevant control thresholds mentioned in</w:t>
        <w:br/>
        <w:t>point 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20-247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