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https://www.autoritedelaconcurrence.fr/fr/decision-de-controle-des-concentrations/relative-la-fusion-de-fait-entre-colis-prive-et-hopps-group</w:t>
      </w:r>
    </w:p>
    <w:p>
      <w:r>
        <w:t>Pages translated : 8</w:t>
      </w:r>
    </w:p>
    <w:p/>
    <w:p>
      <w:r>
        <w:rPr>
          <w:b/>
        </w:rPr>
        <w:t>[Pages 1–3]</w:t>
      </w:r>
    </w:p>
    <w:p>
      <w:r>
        <w:t>FRENCH REPUBLIC</w:t>
        <w:br/>
        <w:t>Decision No. 17-DCC-115 of July 21, 2017</w:t>
        <w:br/>
        <w:t>regarding the de facto merger between Colis Privé and Hopps Group</w:t>
        <w:br/>
        <w:t>The Competition Authority,</w:t>
        <w:br/>
        <w:t>Having regard to the notification file submitted in full to the concentrations service on June 21, 2017, regarding the de facto merger between the company Colis Privé SAS and the company Hopps Group SAS, formalized by a conciliation protocol dated November 18, 2016, and a judgment of the Commercial Court of Marseille dated December 12,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The company Colis Privé SAS (hereinafter, "Colis Privé") is a French private postal operator specialized in the delivery of parcels to individuals at their homes or at a nearby relay point. Colis Privé's activity consists of collecting, sorting, and delivering parcels. Colis Privé is almost exclusively active in traditional courier services (delivery time between 24 and 72 hours), but also offers fast courier services (delivery time under 24 hours). Colis Privé is owned to the extent of [...]% by Mr. Paumier via the company Satine SARL, [...]% by Mr. Pons via the company Atheva SC, [...]% by Amazon, [...]% by Mr. [X], and [...]% by Mr. [Y].</w:t>
        <w:br/>
        <w:t>2. The company Hopps Group SAS (hereinafter, "Hopps Group") is the parent company of the Hopps group, active in the delivery and proximity communication sector. It brings together the physical and digital advertising printed materials distribution pole previously held by Spir Communication. Thus, it wholly owns Adrexo SAS and Start'Hopps. Adrexo SAS, which wholly owns Advertising Production SAS, specializes in the physical and digital distribution of unaddressed printed materials. The company Start'Hopps (formerly named Advertising Services SAS) is intended to host the diversification activities of the Hopps group. In January 2017, it acquired Company Group, which exclusively markets brands in France in the textile, footwear, and fashion accessories sector, and the company [confidential].</w:t>
        <w:br/>
        <w:t>3. The operation, formalized by a conciliation protocol dated November 18, 2016, and a judgment of the Commercial Court of Marseille dated December 12, 2016, constitutes a de facto merger between the company Colis Privé and the company Hopps Group. Pursuant to this conciliation protocol approved by the Commercial Court of Marseille, Hopps Group was acquired to the extent of [...]% by Mr. Paumier via the company Satine SARL, [...]% by Mr. Pons via the company Atheva SC, and [...]% by Mr. Salabert via the company SAS de l’Aubrac. Thus, the main shareholders and directors of Colis Privé and Hopps Group (Messrs. Pons and Paumier) are now identical. Indeed, Messrs. Pons and Paumier each hold via their respective companies [...]% of Colis Privé and [...]% of Hopps Group and occupy the positions of president and chief executive officer in each of the companies. By virtue of the positions they hold, they have access to detailed information about the activities of the companies. In particular, Mr. Paumier, as President of Colis Privé and President of Hopps Group, is responsible for preparing the business plan and the annual budget of each company. Furthermore, several functional and operational synergies are envisaged between the parties: in particular, [confidential].</w:t>
        <w:br/>
        <w:t>4. Consequently, Colis Privé and Hopps Group are subject to a unique and sustainable economic management, even though they remain legally independent.</w:t>
        <w:br/>
        <w:t>5. The operation therefore constitutes a concentration within the meaning of Article L. 430-1 of the Commercial Code. It was not subject to notification prior to its realization. The developments below are therefore without prejudice to the possible application of the provisions of Article L. 430-8 of the Commercial Code.</w:t>
        <w:br/>
        <w:t>6. The concerned companies together generate a total worldwide turnover excluding taxes of more than 150 million euros (Colis Privé: [...] euros for the fiscal year ending December 31, 2016; Hopps Group: [...] euros for the fiscal year ending December 31, 2015). These companies generated in France a turnover exceeding 50 million euros (Colis Privé: [...] euros for the fiscal year ending December 31, 2016; Hopps Group: [...] euros for the fiscal year ending December 31,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7. The operation does not result in overlapping activities between the parties. However, it is likely to have conglomerate effects due to the connection existing between the parcel delivery market, in which Colis Privé is active (A), and the market for the distribution of unaddressed printed materials, in which Hopps Group is active (B). These two markets are therefore analyzed below.</w:t>
      </w:r>
    </w:p>
    <w:p>
      <w:r>
        <w:t>A. THE PARCEL DELIVERY MARKET</w:t>
        <w:br/>
        <w:t>1. SERVICE MARKET</w:t>
        <w:br/>
        <w:t>8. The decision-making practice of the Authority defines the courier activity as the transportation of documents or parcels weighing less than 3 tons, originating from different shippers and addressed to different recipients. Within this activity, a segmentation is made between documents and parcels. In the parcel delivery market, the Authority distinguishes three types of services: (i) traditional courier (delivery within 24 to 72 hours within the national territory), (ii) fast courier (pickup before 6 PM for delivery in principle the next day before 6 PM within the national territory, with no guaranteed deadlines), and (iii) express courier (pickup before 6 PM for delivery the next day before 12 or 1 PM within the national territory with different levels of guarantee on deadlines and a possibility of tracking by the customer). Within the traditional courier market, the Authority has considered a segmentation between home delivery and delivery to relay points.</w:t>
        <w:br/>
        <w:t>9. The Authority has also made a distinction between delivery activities of (i) business to business ("BtoB"), (ii) business to consumer ("BtoC"), (iii) consumer to business ("CtoB"), and (iv) consumer to consumer ("CtoC"). Indeed, CtoC or CtoB delivery requires having agencies for receiving individuals so that they can drop off their parcels, unlike BtoB or BtoC delivery, where the carrier generally goes to the business to collect the parcels. BtoC delivery requires a denser network than BtoB delivery, as businesses are often grouped in activity zones, while individuals to be delivered can be much farther apart. BtoC operators must therefore have a larger fleet of delivery vehicles than BtoB operators, making BtoC services more expensive than BtoB services.</w:t>
        <w:br/>
        <w:t>10. Furthermore, the Authority has considered a segmentation based on the weight of parcels (more or less than 30 kg) both in the BtoB parcel delivery market and in the BtoC parcel delivery market.</w:t>
        <w:br/>
        <w:t>11. Finally, competition authorities distinguish between national courier services and international courier services, as these two activities involve different organizations and infrastructures, where courier operators may specialize in only one of these services, and where international courier services are more expensive.</w:t>
        <w:br/>
        <w:t>12. However, the question of the exact delimitation of the markets can be left open in this case, as the conclusions of the competitive analysis remain unchanged regardless of the hypothesis retained.</w:t>
      </w:r>
    </w:p>
    <w:p>
      <w:r>
        <w:rPr>
          <w:b/>
        </w:rPr>
        <w:t>[Pages 4–6]</w:t>
      </w:r>
    </w:p>
    <w:p>
      <w:r>
        <w:t>13. In this case, Colis Privé is present in traditional BtoC delivery, and marginally in fast BtoC delivery, of parcels under 30 kg. Within the traditional BtoC delivery market, Colis Privé is primarily active in home delivery, with its delivery activity to relay points still emerging and representing less than 1% of its turnover.</w:t>
      </w:r>
    </w:p>
    <w:p>
      <w:r>
        <w:t>2. GEOGRAPHIC MARKET</w:t>
        <w:br/>
        <w:t>The decision-making practice of the Authority considers that parcel delivery markets have a national dimension.</w:t>
      </w:r>
    </w:p>
    <w:p>
      <w:r>
        <w:t>B. THE MARKET FOR THE DISTRIBUTION OF UNADDRESSED PRINTED MATERIALS</w:t>
        <w:br/>
        <w:t>1. SERVICE MARKET</w:t>
        <w:br/>
        <w:t>14. The decision-making practice of the Authority identifies a market for the distribution of unaddressed printed materials (hereinafter, "ISA"), which notably includes leaflets, brochures, printed materials, and advertising newspapers. The objective of ISA is to conduct commercial prospecting ("address collection"), to promote new products in order to attract new customers. The distribution of ISA is thus distinct from addressed advertising as well as from other non-media advertising services.</w:t>
      </w:r>
    </w:p>
    <w:p>
      <w:r>
        <w:t>2. GEOGRAPHIC MARKET</w:t>
        <w:br/>
        <w:t>15. The decision-making practice of the Authority has determined that, in the market for the distribution of ISA, national demand and local demand are not substitutable. Indeed, some companies, particularly large integrated groups, negotiate at the national level, while others, especially small retailers, purchase services at the local level. Furthermore, on the supply side, there are many providers at the local level, but very few are present at the national level. This is why it is appropriate to consider both a national and local dimension of the ISA distribution market.</w:t>
      </w:r>
    </w:p>
    <w:p>
      <w:r>
        <w:t>16. Regarding the delineation of local ISA distribution markets, the decision-making practice has considered retaining the department level.</w:t>
      </w:r>
    </w:p>
    <w:p>
      <w:r>
        <w:t>17. In this case, the notifying parties were unable to provide data at the departmental level. However, they provided data on areas corresponding to the regions around which Hopps organizes its activity. These regions do not exactly correspond to administrative regions but are managed, from a commercial standpoint, by a regional director. The parties emphasize that it is unlikely that the competitive analysis would change between the regional and departmental levels due to the strong presence of La Poste, which benefits, with its network of post offices, from an unparalleled coverage of the national territory.</w:t>
      </w:r>
    </w:p>
    <w:p>
      <w:r>
        <w:t>18. The question of the delineation of local ISA distribution markets can therefore be left open, with the conclusions of the competitive analysis remaining unchanged regardless of the assumption retained.</w:t>
      </w:r>
    </w:p>
    <w:p>
      <w:r>
        <w:t>III. Competitive Analysis</w:t>
        <w:br/>
        <w:t>19. The operation does not result in any overlap of activities between the parties as Colis Privé does not engage in activities in the ISA distribution market and Hopps Group does not engage in activities in the traditional and fast parcel delivery market.</w:t>
      </w:r>
    </w:p>
    <w:p>
      <w:r>
        <w:t>20. On the other hand, it is possible to consider that the parcel delivery market and the ISA distribution market are related: as indicated by the notifying parties, certain categories of customers may use both parcel delivery services and ISA distribution. This particularly concerns retail brands with an online sales activity, for which it may be considered to develop an offer combining parcel distribution and ISA distribution. Therefore, the conglomerate effects of the operation must be examined.</w:t>
      </w:r>
    </w:p>
    <w:p>
      <w:r>
        <w:t>21. A concentration has conglomerate effects when the new entity extends or strengthens its presence in several markets whose relatedness may allow it to exploit a leverage effect. While conglomerate concentrations can generally create pro-competitive synergies, some may nonetheless produce restrictive competition effects when they allow the technical or commercial linking of the sales or purchases of the components of the merger in a way that locks the market and drives out competitors.</w:t>
      </w:r>
    </w:p>
    <w:p>
      <w:r>
        <w:t>22. The decision-making practice of competition authorities generally considers that a risk of conglomerate effect can be ruled out as long as the market share of the entity resulting from the operation in the relevant markets does not exceed 30%.</w:t>
      </w:r>
    </w:p>
    <w:p>
      <w:r>
        <w:t>23. The decision-making practice considers that a conglomerate operation harms competition when the new entity not only has the material capacity to exert a leverage effect but is also incentivized to do so and when the exercise of this leverage effect has a significant impact on the relevant markets. In practice, these three criteria are closely linked.</w:t>
      </w:r>
    </w:p>
    <w:p>
      <w:r>
        <w:t>24. In this case, Colis Privé's market share is below 30% in the traditional and fast BtoC delivery markets for parcels under 30 kg. On the other hand, Hopps Group holds a market share exceeding 30% in the ISA distribution market at both the national and local levels. At the national level, Hopps Group holds a market share of [40-50]% in volume and [30-40]% in value. At the local level, the market shares in value of Hopps Group are as follows:</w:t>
      </w:r>
    </w:p>
    <w:p>
      <w:r>
        <w:t>Region Estimated market share</w:t>
        <w:br/>
        <w:t>Brittany [30-40]%</w:t>
        <w:br/>
        <w:t>Aquitaine [40-50]%</w:t>
        <w:br/>
        <w:t>Rhône Alpes [40-50]%</w:t>
        <w:br/>
        <w:t>PACA [30-40]%</w:t>
        <w:br/>
        <w:t>Midi Pyrénées [40-50]%</w:t>
        <w:br/>
        <w:t>Centre Bourgogne [40-50]%</w:t>
        <w:br/>
        <w:t>North [50-60]%</w:t>
        <w:br/>
        <w:t>North East [50-60]%</w:t>
        <w:br/>
        <w:t>Ile-de-France [40-50]%</w:t>
        <w:br/>
        <w:t>Normandy [40-50]%</w:t>
      </w:r>
    </w:p>
    <w:p>
      <w:r>
        <w:t>25. Therefore, the risk that the new entity exploits Hopps Group's position in the ISA distribution market as leverage to improve Colis Privé's position and drive out its competitors in the traditional and fast BtoC delivery markets for parcels under 30 kg must be analyzed. More specifically, the risk of conglomerate effects must be analyzed (i) between the national ISA distribution market and the national parcel delivery markets, as well as (ii) between the local ISA distribution markets and the national parcel delivery markets.</w:t>
      </w:r>
    </w:p>
    <w:p>
      <w:r>
        <w:t>1. CONGLOMERATE EFFECT BETWEEN THE NATIONAL ISA DISTRIBUTION MARKET AND THE NATIONAL PARCEL DELIVERY MARKETS</w:t>
        <w:br/>
        <w:t>26. In the national ISA distribution market, the new entity will face competitive pressure from Mediapost, a subsidiary of La Poste and market leader with a market share of [50-60]% in volume and [50-60]% in value.</w:t>
      </w:r>
    </w:p>
    <w:p>
      <w:r>
        <w:t>27. In the traditional and fast BtoC delivery markets for parcels under 30 kg, the new entity will face competitive pressure exerted directly by La Poste or by its subsidiary Chronopost: La Poste holds a market share of [70-80]% in volume and [70-80]% in value in the traditional BtoC delivery market for parcels under 30 kg including home delivery and relay points, a market share of [80-90]% in volume and [80-90]% in value in the traditional BtoC delivery market for parcels under 30 kg including only home delivery, and a market share of [50-60]% in volume and [60-70]% in value in the fast BtoC delivery market for parcels under 30 kg.</w:t>
      </w:r>
    </w:p>
    <w:p>
      <w:r>
        <w:t>28. Thus, the main competitor of the new entity is not only present in the markets likely to be linked but is also the leader in these markets. Therefore, La Poste would also be able to implement offers combining parcel delivery services and ISA distribution services at the national level. It could therefore not be driven out of these markets.</w:t>
      </w:r>
    </w:p>
    <w:p>
      <w:r>
        <w:t>29. Furthermore, [...]% of Hopps Group's turnover comes from negotiations conducted at the national level with large integrated groups (Auchan, Carrefour, etc.). Thus, the new entity will face clients with a certain bargaining power who could turn to La Poste in the case of bundled offers.</w:t>
      </w:r>
    </w:p>
    <w:p>
      <w:r>
        <w:rPr>
          <w:b/>
        </w:rPr>
        <w:t>[Pages 7–8]</w:t>
      </w:r>
    </w:p>
    <w:p>
      <w:r>
        <w:t>30. Therefore, even in the event that the new entity had the capacity to and was incentivized to implement a bundled offer at the national level, such a strategy would not have a significant effect on the relevant markets.</w:t>
      </w:r>
    </w:p>
    <w:p>
      <w:r>
        <w:t>31. Consequently, the operation is not likely to harm competition through conglomerate effects between the national market for the distribution of ISA and the national parcel delivery markets.</w:t>
      </w:r>
    </w:p>
    <w:p>
      <w:r>
        <w:t>2. CONGLOMERATE EFFECT BETWEEN LOCAL MARKETS FOR THE DISTRIBUTION OF ISA AND NATIONAL PARCEL DELIVERY MARKETS</w:t>
      </w:r>
    </w:p>
    <w:p>
      <w:r>
        <w:t>32. Colis Privé plans to utilize the sales force of Hopps Group to better market its parcel offering to local customers, without engaging in any bundling between local ISA distribution services and parcel delivery services.</w:t>
      </w:r>
    </w:p>
    <w:p>
      <w:r>
        <w:t>33. In the local ISA distribution markets, the new entity will face competitive pressure from Mediapost, a subsidiary of La Poste and market leader in six regions (Brittany, Aquitaine, Rhône Alpes, PACA, Midi Pyrénées, Centre Bourgogne, and Normandy). In three regions (North, East, and Ile-de-France), Hopps Group is currently the leading operator. However, in two of these (East and Ile-de-France), it will face competitive pressure from five other players, including significant pressure from Mediapost (which holds a market share of [20-30]% in the East and [30-40]% in Ile-de-France). In the North region, while Hopps Group will only face three other players, it will still contend with Mediapost, which holds a market share of [30-40]%.</w:t>
      </w:r>
    </w:p>
    <w:p>
      <w:r>
        <w:t>34. Furthermore, as previously indicated, La Poste is the leader in the national markets for traditional and fast BtoC delivery of parcels under 30 kg and could therefore implement offers bundling parcel delivery services and ISA distribution services at the local level. It could not be excluded from these markets.</w:t>
      </w:r>
    </w:p>
    <w:p>
      <w:r>
        <w:t>35. In addition, according to the notifying parties, customers likely to be interested in a local ISA distribution offer and a parcel delivery offer currently represent [0-5]% in volume and at best [0-5]% in value of Colis Privé's activity. Once the marketing of Colis Privé's offer by the sales force of Hopps Group is established, the parties estimate that the sale of parcel delivery services to local customers of Hopps Group would represent between [0-5]% and [0-5]% of the volumes distributed by Colis Privé, or less than [0-5]% of its turnover. Thus, bundled offers would not be likely to attract enough customers to have an effect on the market. In any case, Colis Privé's market share in value will remain below [10-20]% in the traditional BtoC delivery markets for parcels under 30 kg.</w:t>
      </w:r>
    </w:p>
    <w:p>
      <w:r>
        <w:t>36. Therefore, even in the event that the new entity had the capacity to and was incentivized to implement a bundled offer at the local level, such a strategy would not have a significant effect on the relevant markets.</w:t>
      </w:r>
    </w:p>
    <w:p>
      <w:r>
        <w:t>37. Consequently, the operation is not likely to harm competition through conglomerate effects between the local ISA distribution markets and the national parcel delivery markets.</w:t>
      </w:r>
    </w:p>
    <w:p>
      <w:r>
        <w:t>12 In decision No. 12-DCC-154 of November 7, 2012, regarding the exclusive control of assets of the company SeaFrance by the company Groupe Eurotunnel, the Authority excluded a risk of conglomerate effect insofar as bundled offers were likely to interest customers representing less than 5% of the company's turnover.</w:t>
      </w:r>
    </w:p>
    <w:p>
      <w:r>
        <w:t>DECIDES</w:t>
      </w:r>
    </w:p>
    <w:p>
      <w:r>
        <w:t>Sole Article: The operation notified under number 17-062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