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https://www.autoritedelaconcurrence.fr/fr/decision-de-controle-des-concentrations/relative-la-fusion-de-fait-entre-les-groupe-oosterdam-et</w:t>
      </w:r>
    </w:p>
    <w:p>
      <w:r>
        <w:t>Pages translated : 10</w:t>
      </w:r>
    </w:p>
    <w:p/>
    <w:p>
      <w:r>
        <w:rPr>
          <w:b/>
        </w:rPr>
        <w:t>[Pages 1–3]</w:t>
      </w:r>
    </w:p>
    <w:p>
      <w:r>
        <w:t xml:space="preserve">FRENCH REPUBLIC  </w:t>
        <w:br/>
        <w:t xml:space="preserve">Decision No. 20-DCC-163 of November 17, 2020  </w:t>
        <w:br/>
        <w:t xml:space="preserve">regarding the de facto merger between the Oosterdam and Happychic groups  </w:t>
        <w:br/>
        <w:t xml:space="preserve">The Competition Authority,  </w:t>
        <w:br/>
        <w:t xml:space="preserve">Having regard to the notification file sent to the merger service on September 8, 2020, declared complete on October 13, 2020, regarding the de facto merger between the Oosterdam and Happychic groups, formalized by the letter of intent dated July 10, 2020;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 xml:space="preserve">Adopts the following decision:  </w:t>
        <w:br/>
        <w:t xml:space="preserve">I. The companies concerned and the operation  </w:t>
        <w:br/>
        <w:t xml:space="preserve">1. Happychic is a French public limited company, exclusively controlled by the company TEXO, a holding company owned by members of the Mulliez family. The Happychic group is exclusively active in ready-to-wear. It owns the brands Jules, Brice, Bizzbee, and Happychic Stores, which sell ready-to-wear items in physical stores and online1. The brands Jules and Brice, which comprise 395 stores in France, are exclusively active in ready-to-wear and fashion accessories for men. The brand Bizzbee, which comprises 70 stores in France, is active in ready-to-wear and fashion accessories for men and women and targets individuals aged between 10 and 25 years. The brands Bizzbee, Jules, and Brice are also distributed simultaneously in 18 stores under the Happychic Stores brand.  </w:t>
        <w:br/>
        <w:t xml:space="preserve">2. Oosterdam is a Dutch company, indirectly controlled by the company Suramac, which is itself owned by members of the Mulliez family. Oosterdam is primarily active in France, through several subsidiaries, in women's ready-to-wear through its brands Pimkie and Grain de Malice, but also in women's lingerie through its brand Rouge-Gorge. Grain de Malice defines itself as a mid-range ready-to-wear brand aimed at active women over 35 years old with average incomes, living in the region. In France, Grain de Malice markets its products through a network of 162 stores and via an online sales website. Pimkie is a mid-range ready-to-wear brand, specifically targeting women aged 15 to 36. In France, Pimkie markets its products through a network of 309 stores and via an online sales website. The Suramac group also controls the company Woelsewaard, which owns the company Phildar, a women's ready-to-wear and ready-to-knit company. However, Phildar stores were not included in the competitive analysis of the effects of the present operation, as the Lille commercial court has placed the company Phildar into judicial recovery by judgment dated July 21, 2020, which should lead either to the sale or liquidation of this company.  </w:t>
        <w:br/>
        <w:t xml:space="preserve">3. The companies Happychic and Oosterdam are, prior to the operation, both ultimately owned by the Mulliez family. However, the Mulliez family and the holdings it owns, in this case HappyChic and Oosterdam, do not constitute a single economic entity. Indeed, the prerogatives of the members of the Mulliez family regarding the Oosterdam and HappyChic groups are those of investor shareholders whose rights are limited to controlling financial performance and certain significant divestiture or acquisition operations, the realization of which could have a significant impact on their financial interests. The Mulliez family does not directly intervene in the appointment and dismissal of the executives of the companies concerned by the operation. Indeed,  </w:t>
        <w:br/>
        <w:t xml:space="preserve">- firstly, while members of this family are gathered within the "Mulliez Family Association" (AFM), an entity that does not, despite its name, have the status of an association, and the principles that guide the relationships between them are [confidential] and are not comparable to a shareholders' agreement or associative statutes;  </w:t>
        <w:br/>
        <w:t xml:space="preserve">- secondly, none of these members holds individually, directly or indirectly, a stake exceeding 10% of the capital or voting rights and does not control de jure or de facto these companies. In fact, there are no special rights (veto rights, preferential voting rights, or any rights to appoint members of the management of the companies) conferred to shareholders of the Mulliez family allowing any of them to oppose the adoption of strategic decisions or to obtain a majority within the general assembly of shareholders;  </w:t>
        <w:br/>
        <w:t xml:space="preserve">- thirdly, [confidential], it is specified that the members of the AFM do not intervene, either collectively or individually, in the commercial policy of the brands in which the Mulliez family holds stakes.  </w:t>
        <w:br/>
        <w:t xml:space="preserve">4. The letter of intent signed by the parties on July 10, 2020 specifies the conditions of the operation, which consists, among other things, of the pooling, by the Happychic and Oosterdam groups, of know-how and resources through the establishment of a joint venture, while maintaining the legal personality of each of the two groups. The operation provides for: (i) the establishment of a joint company tasked with making all strategic decisions relating to the two groups, such as the budget, the appointment of executives, and investments; (ii) the development of joint operational projects on the strategic functions of the two groups (information systems or purchasing in particular). At the end of the operation, the Oosterdam and Happychic groups will thus have a common governance and will pool their purchases as well as various operational tools. They will thus have a common and sustainable management and will act as a single economic entity in the market.  </w:t>
        <w:br/>
        <w:t xml:space="preserve">5. Insofar as it results in a de facto merger of previously independent companies, the notified operation constitutes a concentration within the meaning of Article L. 430-1 of the Commercial Code.  </w:t>
        <w:br/>
        <w:t xml:space="preserve">6. The companies concerned achieve together a total worldwide turnover of more than 150 million euros (Happychic: [≥150] million euros for the fiscal year ending December 31, 2019; Oosterdam: [≥ 150 million] euros for the same fiscal year). Each of these companies achieves, in France, a turnover exceeding 50 million euros (Happychic: [≥ 50] million euros for the fiscal year ending December 31, 2019; Oosterdam: [≥ 50] million euros for the same fiscal year). Given these turnover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II. Delimitation of the relevant markets  </w:t>
        <w:br/>
        <w:t xml:space="preserve">A. UPSTREAM SUPPLY MARKETS  </w:t>
        <w:br/>
        <w:t xml:space="preserve">7. In the distributor supply sector, competition authorities consider that producers cannot easily switch to manufacturing products other than their own. They thus distinguish as many markets as there are families of products. The Competition Authority has notably considered a distinct supply market for shoes separate from a supply market for clothing2. In this case, the parties simultaneously source women's clothing.  </w:t>
        <w:br/>
        <w:t xml:space="preserve">8. The clothing supply markets, for their part, given the decisional practice, have a global dimension3.  </w:t>
        <w:br/>
        <w:t xml:space="preserve">B. DOWNSTREAM RETAIL DISTRIBUTION MARKETS  </w:t>
        <w:br/>
        <w:t xml:space="preserve">1. PRODUCT MARKETS  </w:t>
        <w:br/>
        <w:t xml:space="preserve">9. Regarding the retail distribution of clothing, the Competition Authority (hereinafter "the Authority") has considered several segmentations based on (i) the gender and age of consumers (men, women, children) and (ii) the range of products sold (entry-level, mid-range, and high-end)4.  </w:t>
        <w:br/>
        <w:t xml:space="preserve">2 Decisions of the Competition Authority No. 10-DCC-42 of May 25, 2010, regarding the acquisition by the company 3 Suisses International SA of certain assets of the company La Source, No. 17-DCC-39 of April 4, 2017, regarding the acquisition of exclusive control of the companies Livelle and 3Suisses Belgium by Domoti SAS, No. 18-DCC-01 of January 10, 2018, regarding the acquisition of exclusive control of the company La Redoute by the company Motier (Galeries Lafayette group), and No. 19-DCC-162 of August 23, 2019, regarding the acquisition of exclusive control of the De Fursac group by the Sandro Maje Claudie Pierlot group.  </w:t>
        <w:br/>
        <w:t xml:space="preserve">3 Decisions No. 10-DCC-42, No. 10-DCC-77, No. 10-DCC-139, No. 10-DCC-159, No. 11-DCC-49, No. 13-DCC-77, No. 17-DCC-39, and No. 18-DCC-01 mentioned above.  </w:t>
        <w:br/>
        <w:t>4 Decisions No. 10-DCC-139, No. 10-DCC-159, No. 11-DCC-49, No. 13-DCC-77 mentioned above and the Authority's decision No. 17-DCC-69 of May 31, 2017, regarding the exclusive control acquisition of the HMY group by LBO France Gestion.</w:t>
      </w:r>
    </w:p>
    <w:p>
      <w:r>
        <w:rPr>
          <w:b/>
        </w:rPr>
        <w:t>[Pages 4–6]</w:t>
      </w:r>
    </w:p>
    <w:p>
      <w:r>
        <w:t>10. Regarding distribution channels, the Authority has distinguished, to date, sales made in physical stores and distance sales (online and by mail order)5. The market for clothing distribution in stores is further sub-segmented into sales in specialized boutiques, sales in specialized large stores, and in large food stores6.</w:t>
      </w:r>
    </w:p>
    <w:p>
      <w:r>
        <w:t>11. The question of the exact definition of the retail clothing distribution market can, however, be left open insofar as, regardless of the segmentation chosen, the conclusions of the competitive analysis remain unchanged.</w:t>
      </w:r>
    </w:p>
    <w:p>
      <w:r>
        <w:t>12. In this case, the parties are simultaneously active in the market for the distribution, in physical stores and online, of women's clothing for the medium range through the brands Bizzbee, Grain de Malice, Pimkie, and Happychic.</w:t>
      </w:r>
    </w:p>
    <w:p>
      <w:r>
        <w:t>2. GEOGRAPHICAL MARKETS</w:t>
      </w:r>
    </w:p>
    <w:p>
      <w:r>
        <w:t>13. Regarding the retail distribution of clothing, the Authority considers that competition occurs between retail outlets located in catchment areas. Two criteria are used to delineate these areas7:</w:t>
        <w:br/>
        <w:t>- on the one hand, for specialized boutiques, there are as many geographical markets as there are cities where retailers likely to sell these items are located, each of these markets corresponding to the commercial attraction zone of the city in which a store of the parties is located;</w:t>
        <w:br/>
        <w:t>- on the other hand, for large food stores and specialized large stores, the geographical market would correspond to a radius of 20 minutes by car from a store of the parties. This catchment area is also retained for stores located in shopping centers adjacent to large specialized stores (GSS) or large food stores (GSA).</w:t>
      </w:r>
    </w:p>
    <w:p>
      <w:r>
        <w:t>14. Furthermore, the growing weight in this sector of specialized distribution chains, consisting of networks of retail outlets under a common brand, operated independently, as franchises, or in purchasing groups and present throughout the national territory raises the question of the relevance of a complementary analysis at the national level8.</w:t>
      </w:r>
    </w:p>
    <w:p>
      <w:r>
        <w:t>15. Finally, regarding distance sales of these items, the decision-making practice of competition authorities retains a national delineation, due to linguistic differences and the heterogeneity of consumer habits within the European Union, as well as the homogeneity of costs and delivery times at the national level9.</w:t>
      </w:r>
    </w:p>
    <w:p>
      <w:r>
        <w:t>16. In this case, as the parties distribute their items through chains of specialized boutiques and online, the competitive analysis will be conducted at the level of each city where the parties' activities overlap and at the national level.</w:t>
      </w:r>
    </w:p>
    <w:p>
      <w:r>
        <w:t xml:space="preserve">5 Decisions n° 10-DCC-77, n° 17-DCC-139 and n° 18-DCC-01 cited above.  </w:t>
        <w:br/>
        <w:t xml:space="preserve">6 Ibid.  </w:t>
        <w:br/>
        <w:t xml:space="preserve">7 Decisions n° 10-DCC-139, n° 10-DCC-159 and n° 16-DCC-166 cited above.  </w:t>
        <w:br/>
        <w:t xml:space="preserve">8 Decisions n° 10-DCC-139, n° 10-DCC-159, n° 13-DCC-77, n° 17-DCC-169 and 19-DCC-162 cited above.  </w:t>
        <w:br/>
        <w:t>9 Decisions n° 18-DCC-01 and n° 18-DCC-50 cited above.</w:t>
      </w:r>
    </w:p>
    <w:p>
      <w:r>
        <w:t>III. Competitive Analysis</w:t>
      </w:r>
    </w:p>
    <w:p>
      <w:r>
        <w:t>17. The parties are simultaneously active in the upstream markets for the supply of women's clothing.</w:t>
      </w:r>
    </w:p>
    <w:p>
      <w:r>
        <w:t>18. They are also both present in the downstream market for the retail distribution of mid-range women's clothing.</w:t>
      </w:r>
    </w:p>
    <w:p>
      <w:r>
        <w:t>1. UPSTREAM MARKETS FOR SUPPLY</w:t>
      </w:r>
    </w:p>
    <w:p>
      <w:r>
        <w:t>19. In the upstream markets for the supply of women's clothing, the parties estimated that the market share of the new entity will be less than 1%.</w:t>
      </w:r>
    </w:p>
    <w:p>
      <w:r>
        <w:t>20. Consequently, the operation is not likely to harm competition in the market for the supply of women's clothing.</w:t>
      </w:r>
    </w:p>
    <w:p>
      <w:r>
        <w:t>2. DOWNSTREAM MARKETS FOR RETAIL DISTRIBUTION</w:t>
      </w:r>
    </w:p>
    <w:p>
      <w:r>
        <w:t>a) Methodology</w:t>
      </w:r>
    </w:p>
    <w:p>
      <w:r>
        <w:t>21. It emerges from the investigation that, although a segmentation of the retail clothing distribution market based on range is relevant, it faces certain difficulties. Indeed, on the one hand, it is not always easy to determine in which range a brand should be positioned, and on the other hand, there can be significant price differences within the same range. The price surveys conducted during the investigation have shown that the brands considered to be mid-range by the notifying parties can have very different prices. Consequently, some brands positioned at the beginning of the mid-range segment actually face stronger competitive pressure from brands positioned at the top of the entry-level segment rather than from brands positioned at the top of the mid-range segment. Furthermore, brands within the same price range may target different customer bases.</w:t>
      </w:r>
    </w:p>
    <w:p>
      <w:r>
        <w:t>22. The brands Bizzbee and Pimkie having a relatively close commercial positioning, the Authority identified the closest competitors of these two brands in terms of pricing and targeted clientele. All brands distant from these two brands, in terms of price or clientele, were excluded from the analysis.</w:t>
      </w:r>
    </w:p>
    <w:p>
      <w:r>
        <w:t>23. Although the target core of the brand Grain de Malice is quite distant from that of the brands Bizzbee and Pimkie, all Grain de Malice retail outlets were taken into account in the analysis, in order to account for all possible overlaps in activity between the parties. However, competitors of Grain de Malice that are too distant from the commercial positioning of Bizzbee and Pimkie were not taken into account.</w:t>
      </w:r>
    </w:p>
    <w:p>
      <w:r>
        <w:t>24. Furthermore, regarding large specialized stores (GSS), the decision-making practice10 indicates that these are "stores with a sales area greater than 400 m², generally located on the outskirts of cities and whose offer is positioned at the entry-level in retail clothing distribution (for example Kiabi, Vêtimarché, Distri center, etc.)," while it specifies that specialized boutiques are "retail outlets with a surface area smaller than that of GSS and which offer branded products from the network (for example Morgan, Celio, Caroll, Kookaï, Alain Manoukian, etc.)". However, it emerges from the investigation, on the one hand, that certain specialized store brands may have retail outlets with an area exceeding 400 m² and thus have areas comparable to those of GSS and, on the other hand, that retail outlets with an area exceeding 400 m² may also be located in city centers and offer mid-range clothing. However, as a conservative measure, stores with an area of more than 400 m², regardless of their location and market positioning, were initially excluded from the list of competitors considered in the quantitative competitive analysis, which allows for a preliminary filtering of the areas to be examined in more detail, but they could be reintegrated into the qualitative analysis when a more detailed analysis appeared necessary.</w:t>
      </w:r>
    </w:p>
    <w:p>
      <w:r>
        <w:t>25. Finally, regarding stores offering mixed clothing, the parties were unable to estimate the areas of their competitors allocated solely to women's clothing. Therefore, as a conservative measure, these stores were also excluded from the quantitative competitive analysis allowing for a preliminary filtering of the areas to be examined in more detail, but they could be reintegrated into the qualitative analysis when a more detailed analysis appeared necessary.</w:t>
      </w:r>
    </w:p>
    <w:p>
      <w:r>
        <w:t>26. The Authority thus conducted a preliminary conservative analysis taking into account all the brands of the parties and only the non-mixed competing brands of Bizzbee and Pimkie with retail outlets smaller than 400 m². At the end of this analysis, for the areas likely to be problematic due to the low number of remaining competitors or the significance of the market shares of the new entity, the Authority refined its analysis.</w:t>
      </w:r>
    </w:p>
    <w:p>
      <w:r>
        <w:t>b) National Analysis</w:t>
      </w:r>
    </w:p>
    <w:p>
      <w:r>
        <w:t>27. Regardless of the market segmentation retained, at the national level, the new entity estimated that its market share will be less than 5%. It will face competition from other national brands, having physical stores and online sales sites, such as Cache-Cache, Camaïeu, Promod, Mango, and Naf-Naf.</w:t>
      </w:r>
    </w:p>
    <w:p>
      <w:r>
        <w:t>28. Regarding online sales, the new entity estimated that its market share will be less than 2%. The new entity will notably face competition from the aforementioned national brands, but also from players specialized in online sales of mid-range women's ready-to-wear (Sarenza, Amazon, La Redoute, etc.).</w:t>
      </w:r>
    </w:p>
    <w:p>
      <w:r>
        <w:t>29. The operation is therefore not likely to harm competition at the national level in the markets for retail distribution and online sales of women's ready-to-wear.</w:t>
      </w:r>
    </w:p>
    <w:p>
      <w:r>
        <w:t>c) Local Analysis</w:t>
      </w:r>
    </w:p>
    <w:p>
      <w:r>
        <w:t>30. At the local level, the parties are simultaneously present in 81 areas11.</w:t>
      </w:r>
    </w:p>
    <w:p>
      <w:r>
        <w:t>31. The Authority conducted a quantitative analysis of the local competitive situation based on the sizes of the stores present in each of the overlapping areas.</w:t>
      </w:r>
    </w:p>
    <w:p>
      <w:r>
        <w:t>11 Aix-en-Provence, Amiens, Angers (the Happychic group has two retail outlets in Angers whose areas are analyzed separately), Annecy, Auxerre, Barjouville, Bailleul, Beaucouze, Bègles, Besançon, Béziers, Bordeaux, Brest (the Happychic group has two retail outlets in Brest whose areas are analyzed separately), Brive-la-Gaillarde, Carcassonne, Chambéry, Chauray, Châteaubriant, Claira, Clermont-Ferrand, Compiègne, Cormontreuil, Dijon, Englos, Farébersviller, Grenoble, Ibos, La Chapelle-Saint-Aubin, La Roche-sur-Yon, La Valette-du-Var, Langueux, Le Pontet, Le Port, Lescar, Lille, Limoges, Longuenesse, Lyon, Marseille, Mondeville, Montpellier, Moulins-Lès-Metz, Nancy, Neuville-en-Ferrain, Nîmes, Noyelles-Godault, Olonne-sur-Mer, Orléans, Pamiers, Paris, Perpignan, Pleurtuit, Poitiers, Pontault-Combault, Puilboreau, Quimper, Rennes, Roissy-en-France, Rouen, Ruaudin, Saint-Étienne, Saint-Grégoire, Saint-Herblain, Saint Leu, Saint-Martin-des-Champs, Saint-Médard-en-Jalles, Saint-Pierre-D’irube, Saint Pierre-du-Mont, Saran, Sarrebourg, Strasbourg, Thionville, Tours, Trélissac, Valenciennes, Vannes, and Villars.</w:t>
      </w:r>
    </w:p>
    <w:p>
      <w:r>
        <w:rPr>
          <w:b/>
        </w:rPr>
        <w:t>[Pages 7–9]</w:t>
      </w:r>
    </w:p>
    <w:p>
      <w:r>
        <w:t xml:space="preserve">i) The areas where the cumulative market share is below 45% and includes at least three competitors  </w:t>
        <w:br/>
        <w:t xml:space="preserve">32. Given the conservative nature of the analysis conducted, the Authority considered that a market share of the new entity below 45%, in the presence of at least three competing brands, was sufficient to exclude any risk of harm to competition in the area studied.  </w:t>
        <w:br/>
        <w:t xml:space="preserve">33. In light of these criteria, the Authority was able to rule out any risk of harm to competition in 77 areas.  </w:t>
        <w:br/>
        <w:t xml:space="preserve">ii) The areas where the cumulative market share is above 45% or includes fewer than three competitors  </w:t>
        <w:br/>
        <w:t xml:space="preserve">34. In this case, the new entity, although having market shares below 45%, would only face two competitors in the areas of Pamiers and Saint-Médard-en-Jalles, and the market share of the new entity would exceed 50% in the areas of Compiègne and Villars.  </w:t>
        <w:br/>
        <w:t xml:space="preserve">Pamiers  </w:t>
        <w:br/>
        <w:t xml:space="preserve">35. In the area of Pamiers, the overlap occurs between the Happy Chic store in Pamiers and the Grain de Malice store located in Saint-Jean-du-Falga. In this area, the market share of the new entity will amount to [30-40]%.  </w:t>
        <w:br/>
        <w:t xml:space="preserve">36. Due to the conservative filter used by the Authority, the quantitative competitive analysis only considered the competitive pressure exerted by the Camaïeu and Jennyfer stores, both located in Saint-Jean-du-Falga.  </w:t>
        <w:br/>
        <w:t xml:space="preserve">37. However, it is also important to take into account the competitive pressure exerted by the Vib’s store, which sells clothing for men and women, also located in Pamiers, 100 meters from the target store. This store notably includes the brands Cache-Cache and Bonobo, both active in the retail clothing market for women, with a range and target audience similar to those of the target store.  </w:t>
        <w:br/>
        <w:t xml:space="preserve">38. Furthermore, it should be noted that the Happy Chic and Grain de Malice stores cater to different clientele, with the Bizzbee brand, sold in Happy Chic stores, primarily targeting women aged 10 to 25, while the Grain de Malice brand targets women over 35 years old.  </w:t>
        <w:br/>
        <w:t xml:space="preserve">39. In light of the above, the operation is not likely to harm competition in the area of Pamiers.  </w:t>
        <w:br/>
        <w:t xml:space="preserve">Saint-Médard-en-Jalles  </w:t>
        <w:br/>
        <w:t xml:space="preserve">40. In the area of Saint-Médard-en-Jalles, the overlap occurs between the Bizzbee and Grain de Malice stores, both located in Saint-Médard-en-Jalles. In this area, the market share of the new entity will amount to [40-50]%.  </w:t>
        <w:br/>
        <w:t xml:space="preserve">41. Due to the conservative filter used by the Authority, the quantitative competitive analysis only considered the competitive pressure exerted by the Camaïeu and Jennyfer stores located in Saint-Médard-en-Jalles and Mérignac, respectively.  </w:t>
        <w:br/>
        <w:t xml:space="preserve">42. However, it is also important to take into account the competitive pressure exerted by the Vib’s stores, which sell clothing for women and men, located in Saint-Médard-en-Jalles and Mérignac. Additionally, the H&amp;M store in Saint-Médard-en-Jalles, with an area exceeding 400 m² and thus larger than those of the parties' outlets, is located only 200 meters from the target store and has a commercial positioning similar to that of the parties. It should therefore also be considered as exerting competitive pressure on the latter.  </w:t>
        <w:br/>
        <w:t xml:space="preserve">43. Furthermore, it should be recalled, as previously indicated, that the Bizzbee and Grain de Malice stores cater to different clientele.  </w:t>
        <w:br/>
        <w:t xml:space="preserve">44. In light of the above, the operation is not likely to harm competition in the area of Saint-Médard-en-Jalles.  </w:t>
        <w:br/>
        <w:t xml:space="preserve">Compiègne  </w:t>
        <w:br/>
        <w:t xml:space="preserve">45. In the area of Compiègne, the overlap occurs between the Bizzbee store, on the one hand, and the Pimkie and Grain de Malice stores, on the other hand. These three stores are located in Compiègne. Due to the conservative filter used by the Authority, the quantitative competitive analysis only considered the competitive pressure exerted by the Mango, Promod, and Naf stores, all located in Compiègne.  </w:t>
        <w:br/>
        <w:t xml:space="preserve">Store City Travel Time Area Considered Market Share  </w:t>
        <w:br/>
        <w:t xml:space="preserve">Bizzbee Compiègne 0 minutes 272 m² [20-30]%  </w:t>
        <w:br/>
        <w:t xml:space="preserve">Grain de Malice Compiègne 1 minute 122 m² [10-20]%  </w:t>
        <w:br/>
        <w:t xml:space="preserve">Pimkie Compiègne 1 minute 176 m² [10-20]%  </w:t>
        <w:br/>
        <w:t xml:space="preserve">Mango Compiègne 1 minute 200 m² [10-20]%  </w:t>
        <w:br/>
        <w:t xml:space="preserve">Promod Compiègne 1 minute 100 m² [5-10]%  </w:t>
        <w:br/>
        <w:t xml:space="preserve">Naf Compiègne 1 minute 183 m² [10-20]%  </w:t>
        <w:br/>
        <w:t xml:space="preserve">46. Given the conservative calculation method used by the Authority to filter the areas, the market share of the new entity considered will be [50-60]%.  </w:t>
        <w:br/>
        <w:t xml:space="preserve">47. However, it should be recalled, as previously indicated, that the Bizzbee and Grain de Malice stores have very distant target audiences. The overlap therefore primarily occurs between the Bizzbee and Pimkie brands, located 500 m apart. The competitors considered in this area are all closer to the target store than the Pimkie store.  </w:t>
        <w:br/>
        <w:t xml:space="preserve">48. Furthermore, the H&amp;M store in Compiègne, with an area exceeding 400 m², which is thus larger than those of the parties' outlets, is located only 300 meters from the target store and has a commercial positioning similar to that of the parties. It should also be considered as exerting competitive pressure on the latter. The market share of the new entity in the area of Compiègne would therefore be below 50%, and there are at least four alternative national brands in this area, all located within 500 meters of the target store.  </w:t>
        <w:br/>
        <w:t xml:space="preserve">49. In light of the above, the operation is not likely to harm competition in the area of Compiègne.  </w:t>
        <w:br/>
        <w:t xml:space="preserve">Villars  </w:t>
        <w:br/>
        <w:t xml:space="preserve">50. In the area of Villars, the overlap occurs between the Happy Chic store and the Pimkie store, both located in Villars. The new entity has a third store in the area, under the Bizzbee brand, located in Saint-Étienne. Due to the conservative filter used by the Authority, the quantitative competitive analysis only considered the competitive pressure exerted by the Camaïeu and Les Petites Bombes stores located in Villars, as well as the Naf, Jennyfer, and Tally Weijl stores located in Andrézieux-Bouthéon.  </w:t>
        <w:br/>
        <w:t xml:space="preserve">Store City Travel Time Area Considered Market Share  </w:t>
        <w:br/>
        <w:t xml:space="preserve">Happy Chic Villars 0 minutes 237 m² [10-20]%  </w:t>
        <w:br/>
        <w:t xml:space="preserve">Pimkie Villars 4 minutes 176 m² [10-20]%  </w:t>
        <w:br/>
        <w:t xml:space="preserve">Bizzbee Saint-Etienne 14 minutes 400 m² [20-30]%  </w:t>
        <w:br/>
        <w:t xml:space="preserve">Camaïeu Villars 4 minutes 220 m² [10-20]%  </w:t>
        <w:br/>
        <w:t xml:space="preserve">LPB Villars 4 minutes 90 m² [5-10]%  </w:t>
        <w:br/>
        <w:t xml:space="preserve">Jennyfer Andrézieux 12 minutes 150 m² [5-10]%  </w:t>
        <w:br/>
        <w:t xml:space="preserve">Naf Andrézieux 18 minutes 130 m² [5-10]%  </w:t>
        <w:br/>
        <w:t xml:space="preserve">Tally Weijl Andrézieux 19 minutes 180 m² [10-20]%  </w:t>
        <w:br/>
        <w:t xml:space="preserve">51. Given the conservative calculation method used by the Authority to filter the areas, the market share of the new entity considered will be [50-60]%.  </w:t>
        <w:br/>
        <w:t xml:space="preserve">52. However, it is also important to take into account the competitive pressure exerted by the Vib’s store, which sells clothing for men and women, also located in Villars. The market share of the new entity in the area of Villars would therefore be below 50% in the presence of at least 5 competing national groups representing six alternative national brands.  </w:t>
        <w:br/>
        <w:t xml:space="preserve">53. In light of the above, the operation is not likely to harm competition in the area of Villars.  </w:t>
        <w:br/>
        <w:t>54. The operation is therefore not likely to harm competition in the markets for the retail distribution of mid-range women's clothing, both at the national level and across all areas where the operation will result in an overlap of activities.</w:t>
      </w:r>
    </w:p>
    <w:p>
      <w:r>
        <w:rPr>
          <w:b/>
        </w:rPr>
        <w:t>[Pages 10–10]</w:t>
      </w:r>
    </w:p>
    <w:p>
      <w:r>
        <w:t xml:space="preserve">DECIDES  </w:t>
        <w:br/>
        <w:t xml:space="preserve">Sole Article: The operation notified under number 20-009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