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https://www.autoritedelaconcurrence.fr/fr/decision-de-controle-des-concentrations/relative-la-fusion-de-fait-entre-les-groupes-mutualistes</w:t>
      </w:r>
    </w:p>
    <w:p>
      <w:r>
        <w:t>Pages translated : 2</w:t>
      </w:r>
    </w:p>
    <w:p/>
    <w:p>
      <w:r>
        <w:rPr>
          <w:b/>
        </w:rPr>
        <w:t>[Pages 1–2]</w:t>
      </w:r>
    </w:p>
    <w:p>
      <w:r>
        <w:t xml:space="preserve">FRENCH REPUBLIC  </w:t>
        <w:br/>
        <w:t xml:space="preserve">Decision No. 18-DCC-89 of June 14, 2018  </w:t>
        <w:br/>
        <w:t xml:space="preserve">regarding the de facto merger between the mutual groups  </w:t>
        <w:br/>
        <w:t xml:space="preserve">AG2R La Mondiale and Matmut  </w:t>
        <w:br/>
        <w:t xml:space="preserve">The Competition Authority,  </w:t>
        <w:br/>
        <w:t xml:space="preserve">Having regard to the complete notification file submitted to the mergers department on May 14, 2018,  </w:t>
        <w:br/>
        <w:t xml:space="preserve">concerning the de facto merger between the mutual insurance group company (SGAM)  </w:t>
        <w:br/>
        <w:t xml:space="preserve">AG2R La Mondiale and the SGAM group Matmut, formalized by agreements in principle dated  </w:t>
        <w:br/>
        <w:t xml:space="preserve">December 7, 2017, for the SGAM group Matmut, and December 14, 2017, for the SGAM  </w:t>
        <w:br/>
        <w:t xml:space="preserve">group AG2R La Mondiale;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a de facto merger between the SGAM AG2R La Mondiale and  </w:t>
        <w:br/>
        <w:t xml:space="preserve">Matmut. It constitutes a concentration within the meaning of Article L. 430-1 of the Commercial Code.  </w:t>
        <w:br/>
        <w:t xml:space="preserve">Given the turnover achieved by the concerned companies, the notification thresholds of Article 1 paragraph 2 of Regulation (EC) 139/2004 are exceeded, but since each of the concerned companies generates more than two-thirds of its turnover in the Union in France,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the markets for insurance products, employee savings, banking products, real estate services, and the markets concerned under the health and social action of mutuals. These markets are consistently defined by the decision-making practice of the Competition Authority.  </w:t>
        <w:br/>
        <w:t xml:space="preserve">3. Regardless of the segmentations retained, the estimated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18-066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