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https://www.autoritedelaconcurrence.fr/fr/decision-de-controle-des-concentrations/relative-la-fusion-de-fait-entre-six-bailleurs-sociaux-en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22-DCC-90 of June 7, 2022  </w:t>
        <w:br/>
        <w:t xml:space="preserve">regarding the de facto merger between six social landlords in Île-de-France  </w:t>
        <w:br/>
        <w:t xml:space="preserve">The Competition Authority,  </w:t>
        <w:br/>
        <w:t xml:space="preserve">Having regard to the complete notification file sent to the mergers department on May 12, 2022,  </w:t>
        <w:br/>
        <w:t xml:space="preserve">concerning the de facto merger between OPH de Colombes, Gennevilliers Habitat, IDF Habitat,  </w:t>
        <w:br/>
        <w:t xml:space="preserve">Malakoff Habitat, Ivry Habitat, and Nanterre Coop Habitat formalized by a resolution dated  </w:t>
        <w:br/>
        <w:t xml:space="preserve">December 15, 2021, and a draft amendment to the shareholders' agreement concerning the governance  </w:t>
        <w:br/>
        <w:t xml:space="preserve">of the Cooperative of Public Housing Actors in Île-de-France;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by the notifying parties during the investigation;  </w:t>
        <w:br/>
        <w:t xml:space="preserve">Adopts the following decision:  </w:t>
        <w:br/>
        <w:t xml:space="preserve">1. The notified operation consists of the de facto merger between six independent social landlords  </w:t>
        <w:br/>
        <w:t xml:space="preserve">operating in the Île-de-France region (OPH de Colombes, Gennevilliers Habitat, IDF Habitat,  </w:t>
        <w:br/>
        <w:t xml:space="preserve">Malakoff Habitat, Ivry Habitat, and Nanterre Coop Habitat), initiated as part of their  </w:t>
        <w:br/>
        <w:t xml:space="preserve">consolidation obligation imposed by Law No. 2018-1021 of November 23, 2018, relating to the  </w:t>
        <w:br/>
        <w:t xml:space="preserve">evolution of housing, planning, and digital technology, known as the "Elan" Law. This operation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 </w:t>
        <w:br/>
        <w:t xml:space="preserve">jurisdiction of the European Union. However, the relevant control thresholds mentioned in point I of  </w:t>
        <w:br/>
        <w:t xml:space="preserve">Article L. 430-2 of the Commercial Code are exceeded. The present operation is therefore subject to  </w:t>
        <w:br/>
        <w:t xml:space="preserve">the 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22-087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