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https://www.autoritedelaconcurrence.fr/fr/decision-de-controle-des-concentrations/relative-la-fusion-de-la-societe-rothschild-co-sca-et-la</w:t>
      </w:r>
    </w:p>
    <w:p>
      <w:r>
        <w:t>Pages translated : 7</w:t>
      </w:r>
    </w:p>
    <w:p/>
    <w:p>
      <w:r>
        <w:rPr>
          <w:b/>
        </w:rPr>
        <w:t>[Pages 1–3]</w:t>
      </w:r>
    </w:p>
    <w:p>
      <w:r>
        <w:t xml:space="preserve">FRENCH REPUBLIC  </w:t>
        <w:br/>
        <w:t xml:space="preserve">Decision No. 16-DCC-151 of October 14, 2016  </w:t>
        <w:br/>
        <w:t>regarding the merger of Rothschild &amp; Co SCA and Compagnie Financière Martin Maurel SA</w:t>
      </w:r>
    </w:p>
    <w:p>
      <w:r>
        <w:t xml:space="preserve">The Competition Authority,  </w:t>
        <w:br/>
        <w:t xml:space="preserve">Having regard to the notification file submitted in full to the merger service on September 12, 2016, regarding the merger between Rothschild &amp; Co SCA and Compagnie Financière Martin Maurel SA, formalized by a memorandum of understanding dated May 18, 2016, and a draft merger agreement signed on July 29, 2016;  </w:t>
        <w:br/>
        <w:t xml:space="preserve">Having regard to Book IV of the Commercial Code relating to the freedom of prices and competition, and in particular Articles L. 430-1 to L. 430-7 and R. 461-1;  </w:t>
        <w:br/>
        <w:t xml:space="preserve">Having regard to the supplementary elements transmitted by the parties during the investigation;  </w:t>
        <w:br/>
        <w:t>Adopts the following decision:</w:t>
      </w:r>
    </w:p>
    <w:p>
      <w:r>
        <w:t xml:space="preserve">I. The concerned companies and the operation  </w:t>
        <w:br/>
        <w:t xml:space="preserve">1. Rothschild &amp; Co SCA (hereinafter, "R&amp;Co") is a French limited partnership company established in 1838. The activity of the Rothschild &amp; Co group, namely R&amp;Co and the entities it controls, is organized around three main business areas: (i) the "financial advisory" sector which includes advisory activities in mergers and acquisitions, debt financing and restructuring, and capital markets operations; (ii) the "private banking and asset management" sector which focuses on the preservation, growth, and transfer of wealth and assets of private and institutional clients; (iii) the "private equity and private debt" sector which offers products to private and institutional investors wishing to invest in private equity and private debt markets.  </w:t>
        <w:br/>
        <w:t>2. Compagnie Financière Martin Maurel SA (hereinafter, "CFMM") is a financial holding company that holds 87.9% of the share capital of BMM, resulting from the merger in 1964 of two family banks from Marseille, Banque Martin Frères and Banque Maurel. The CFMM group primarily engages in commercial banking activities (granting loans, collecting savings, and providing services), private banking, and asset management (including wealth management).</w:t>
      </w:r>
    </w:p>
    <w:p>
      <w:r>
        <w:t xml:space="preserve">3. Under the terms of a memorandum of understanding dated May 18, 2016, the shares held by the main shareholders of CFMM will be exchanged for shares of R&amp;Co on the basis of an exchange ratio of 126 R&amp;Co shares for one CFMM share. The other shareholders of CFMM will be offered either to participate in the merger under the same conditions as those of the main shareholders who are signatories to the memorandum of understanding, or to sell their shares to R&amp;Co for a cash price prior to the merger. As it results in the merger between R&amp;Co and CFMM, the operation constitutes a concentration within the meaning of Article L. 430-1 of the Commercial Code.  </w:t>
        <w:br/>
        <w:t>4. The companies concerned have together achieved a worldwide turnover excluding taxes of more than 150 million euros (Rothschild &amp; Co group: […] billion euros for the fiscal year ending March 31, 2016; CFMM group: 102.7 million euros for the fiscal year ending December 31, 2015). Each of these companies has achieved, in France, a turnover exceeding 50 million euros (Rothschild &amp; Co group: […] million euros for the fiscal year ending March 31, 2016; CFMM group: 92.3 million euros for the fiscal year ending December 31, 2015). Given the turnover of the concerned companies, it does not fall under the jurisdiction of the European Union. However, the control thresholds mentioned in Article L. 430-2-I of the Commercial Code are exceeded. The present operation is therefore subject to the provisions of Articles L. 430-3 and following of the Commercial Code.</w:t>
      </w:r>
    </w:p>
    <w:p>
      <w:r>
        <w:t xml:space="preserve">II. Definition of the relevant markets  </w:t>
        <w:br/>
        <w:t xml:space="preserve">A. THE MARKETS IN THE BANKING SECTOR  </w:t>
        <w:br/>
        <w:t xml:space="preserve">1. THE SERVICE MARKETS  </w:t>
        <w:br/>
        <w:t xml:space="preserve">5. European1 and national2 decision-making practice traditionally distinguishes three categories of services: (i) banking services intended for individuals and households (retail banking); (ii) banking services intended for businesses (commercial banking); and (iii) operations on financial markets (investment and financing banking).  </w:t>
        <w:br/>
        <w:t xml:space="preserve">6. Furthermore, decision-making practice3 has considered distinguishing a market for intermediation in banking operations, distinct from the markets for the provision of banking services.  </w:t>
        <w:br/>
        <w:t>7. In this case, the parties operate simultaneously in the retail banking sector and in investment and financing banking. However, the operation will not lead to any overlap of activities in the commercial banking markets, with the CFMM group being the only one present there.</w:t>
      </w:r>
    </w:p>
    <w:p>
      <w:r>
        <w:t xml:space="preserve">a) Retail Banking Markets  </w:t>
        <w:br/>
        <w:t xml:space="preserve">8. Retail banking encompasses banking services intended for individuals and households.  </w:t>
        <w:br/>
        <w:t xml:space="preserve">9. Decision-making practice has segmented this market by distinguishing:  </w:t>
        <w:br/>
        <w:t xml:space="preserve">(i) demand deposits;  </w:t>
        <w:br/>
        <w:t xml:space="preserve">(ii) bank savings (notably savings bonds and accounts not immediately accessible like term accounts);  </w:t>
        <w:br/>
        <w:t xml:space="preserve">(iii) off-balance sheet savings (Open-Ended Investment Companies, Mutual Funds, and pension funds);  </w:t>
        <w:br/>
        <w:t xml:space="preserve">(iv) mortgage credit;  </w:t>
        <w:br/>
        <w:t xml:space="preserve">(v) consumer credit;  </w:t>
        <w:br/>
        <w:t xml:space="preserve">(vi) debt restructuring credit;  </w:t>
        <w:br/>
        <w:t xml:space="preserve">(vii) issuance of payment cards (issuance for the benefit of clients);  </w:t>
        <w:br/>
        <w:t xml:space="preserve">(viii) private banking5 (which consists of a comprehensive retail banking service including "high-end" financial services aimed at wealthy individuals seeking financial and tax advice as well as personalized portfolio management);  </w:t>
        <w:br/>
        <w:t xml:space="preserve">(ix) retail custody.  </w:t>
        <w:br/>
        <w:t xml:space="preserve">10. In this case, there is no reason to challenge this delimitation.  </w:t>
        <w:br/>
        <w:t>11. In the retail banking sector, the Rothschild &amp; Co and CFMM groups are simultaneously present in the private banking segment.</w:t>
      </w:r>
    </w:p>
    <w:p>
      <w:r>
        <w:t xml:space="preserve">b) Investment and Financing Banking Markets  </w:t>
        <w:br/>
        <w:t xml:space="preserve">12. Investment and financing banking encompasses operations on financial markets.  </w:t>
        <w:br/>
        <w:t>13. The French6 and European7 competition authorities have had the opportunity to distinguish the markets (i) for asset management on behalf of companies and institutional clients, (ii) for mergers and acquisitions advisory, (iii) for placement and underwriting activities related to the issuance of corporate securities, (iv) for activities and transactions on financial markets, and (v) for activities on money markets.</w:t>
      </w:r>
    </w:p>
    <w:p>
      <w:r>
        <w:rPr>
          <w:b/>
        </w:rPr>
        <w:t>[Pages 4–6]</w:t>
      </w:r>
    </w:p>
    <w:p>
      <w:r>
        <w:t>14. The decision-making practice8 has considered retaining a sub-segmentation within the market for asset management on behalf of companies and institutional clients between the activities of:</w:t>
      </w:r>
    </w:p>
    <w:p>
      <w:r>
        <w:t>(i) portfolio management (excluding real estate assets and excluding UCITS), which consists of optimizing the financial return of a securities portfolio composed of financial instruments (stocks and/or bonds) held by a client;</w:t>
      </w:r>
    </w:p>
    <w:p>
      <w:r>
        <w:t>(ii) management of collective investment funds of the UCITS type (which include SICAVs and FCPs), which is an activity that involves managing this type of collective investment funds on behalf of companies and institutional clients;</w:t>
      </w:r>
    </w:p>
    <w:p>
      <w:r>
        <w:t>(iii) private equity, which involves an investor taking a stake in unlisted companies that need an injection of equity. Several forms of intervention can be distinguished: venture capital to finance the startup of new companies, development capital to finance the growth of the company, transmission capital (or LBO) intended to support the transfer or sale of the company, turnaround capital to assist in the recovery of a distressed company.</w:t>
      </w:r>
    </w:p>
    <w:p>
      <w:r>
        <w:t>15. In this case, the parties are simultaneously present in the market for asset management on behalf of companies and institutional clients, and more specifically in the segments of portfolio management, on the one hand, and management of collective investment funds of the UCITS type, on the other hand.</w:t>
      </w:r>
    </w:p>
    <w:p>
      <w:r>
        <w:t>2. GEOGRAPHICAL MARKETS</w:t>
      </w:r>
    </w:p>
    <w:p>
      <w:r>
        <w:t>a) Retail Banking Markets</w:t>
      </w:r>
    </w:p>
    <w:p>
      <w:r>
        <w:t>16. National and European competition authorities have generally considered that retail banking markets are at most of national dimension, despite some harmonization at the European level9.</w:t>
      </w:r>
    </w:p>
    <w:p>
      <w:r>
        <w:t>17. The decision-making practice10 has also considered that with regard to banking services for individuals, the proximity of agencies is an important factor insofar as these are primarily activities that involve contact with customers. It has also emphasized that competitive conditions in metropolitan territory are not homogeneous, particularly given the significant role played in the French banking system by mutual and cooperative networks, differences in the presence of banking groups, the adaptation of commercial strategies to the local competitive context, and the existence of regional banking brands. Competitive analysis has thus been conducted both at the national level and at the local level, with the practice having retained, for the latter level, areas with a radius corresponding to a journey of about twenty minutes by car around the municipality where a bank branch is located.</w:t>
      </w:r>
    </w:p>
    <w:p>
      <w:r>
        <w:t>8 See in particular the letter from the Minister of Economy, Finance and Industry n° C2006-45 and the decision of the Competition Authority n° 09-DCC-16 cited above.</w:t>
      </w:r>
    </w:p>
    <w:p>
      <w:r>
        <w:t>9 See in particular the letters from the Minister of Economy, Finance and Industry C2005-34 of July 1, 2005, to the boards of BNP-Paribas and Galeries Lafayette regarding a concentration in the banking sector and C2005-107 of December 15, 2005, to the boards of Banque Populaire and Covéa regarding a concentration in the retail banking and IT services sector.</w:t>
      </w:r>
    </w:p>
    <w:p>
      <w:r>
        <w:t>10 See in particular the decisions of the Competition Authority n° 09-DCC-16 and n° 14-DCC-84 cited above.</w:t>
      </w:r>
    </w:p>
    <w:p>
      <w:r>
        <w:t>18. Specifically regarding private banking, competition authorities11 traditionally consider that the private banking market is of national dimension.</w:t>
      </w:r>
    </w:p>
    <w:p>
      <w:r>
        <w:t>19. There is no reason to challenge this delimitation in the context of the present operation.</w:t>
      </w:r>
    </w:p>
    <w:p>
      <w:r>
        <w:t>b) Markets for Financing and Investment Banking</w:t>
      </w:r>
    </w:p>
    <w:p>
      <w:r>
        <w:t>20. Competition authorities12 generally consider that the markets for financing and investment banking have at least a European dimension. In this case, the parties to the operation have provided their market shares at the global, European, and national levels.</w:t>
      </w:r>
    </w:p>
    <w:p>
      <w:r>
        <w:t>21. In any case, the question of the exact geographical definition of these markets can be left open, as the conclusions of the competitive analysis remain unchanged.</w:t>
      </w:r>
    </w:p>
    <w:p>
      <w:r>
        <w:t>B. MARKETS FOR THE DISTRIBUTION OF INSURANCE PRODUCTS ON BEHALF OF THIRD PARTIES</w:t>
      </w:r>
    </w:p>
    <w:p>
      <w:r>
        <w:t>22. The decision-making practice of competition authorities consistently distinguishes between insurance activities, reinsurance activities, and the distribution of insurance products on behalf of third parties13.</w:t>
      </w:r>
    </w:p>
    <w:p>
      <w:r>
        <w:t>23. The parties engage, in a very marginal way, in the distribution of insurance products on behalf of third parties. More specifically, they both act as brokers for the distribution of life insurance on behalf of third parties in France. The distribution of insurance products involves marketing and ensuring the administrative management of guarantees or insurance contracts whose risk is borne by third-party insurers.</w:t>
      </w:r>
    </w:p>
    <w:p>
      <w:r>
        <w:t>24. A market limited to insurance brokerage has been considered in certain decisions of the European Commission14. A broader market for the distribution of insurance products by independent intermediaries, encompassing all distribution channels (agents, brokers, and other intermediaries including banks), except for direct distribution by insurance companies, has been identified by national decision-making practice15. The Authority has also sometimes considered a narrower market for insurance brokerage, including only this distribution channel16.</w:t>
      </w:r>
    </w:p>
    <w:p>
      <w:r>
        <w:t>11 See in particular the decision of the Competition Authority n° 13-DCC-31 cited above.</w:t>
      </w:r>
    </w:p>
    <w:p>
      <w:r>
        <w:t>12 See in particular the letter from the Minister of Economy, Finance and Industry C2006-45 and the decision of the Competition Authority n° 14-DCC-84 cited above.</w:t>
      </w:r>
    </w:p>
    <w:p>
      <w:r>
        <w:t>13 See for example the decisions of the European Commission COMP/M.2676 - SAMPO / VARMA SAMPO / IF HOLDING / JV of December 18, 2001 and COMP/M.3556 - Fortis / BCP of January 19, 2005 as well as the decisions of the Authority n°12-DCC-93 of June 29, 2012 regarding the merger of the Mornay group, the D&amp;O group, and the interdepartmental mutual federation of the Paris region, n°12-DCC-111 of August 3, 2012 regarding the merger by absorption of the mutuals Harmonie Mutualité, Mutuelle Existence, Prévadiès, Santévie, Santévie MP, and Spheria Val-de-France by Harmonie Mutuelle and n° 16-DCC-70 of May 13, 2016 regarding the creation of a mutualist group union by the mutuals Adréa, Apréva, and Eovi-Mcd.</w:t>
      </w:r>
    </w:p>
    <w:p>
      <w:r>
        <w:t>14 See the decisions of the European Commission n° COMP/M. 1280, KKR/Willis Corroon of August 24, 1998 and n° COMP/M. 1307 Marsh &amp; McLennan / Sedgwick of October 23, 1998.</w:t>
      </w:r>
    </w:p>
    <w:p>
      <w:r>
        <w:t>15 See for example the letter from the Minister of Economy, Finance and Industry n° C2008-77 of October 28, 2008, to the boards of the mutual company Harmonie Mutualité as well as the decisions of the Competition Authority n°12-DCC-111 and n°16-DCC-70 cited above.</w:t>
      </w:r>
    </w:p>
    <w:p>
      <w:r>
        <w:t>16 See in particular the decision of the Competition Authority n° 15-DCC-153 regarding the creation of the Mutualist Group Union Viverem by the National Mutual Group of Hospital Workers and the Pasteur Mutuality Group.</w:t>
      </w:r>
    </w:p>
    <w:p>
      <w:r>
        <w:t>25. The markets for the distribution of insurance products can also be segmented based on the category of insured risks (property insurance and personal insurance) and according to the clientele (businesses or individuals)17. A distinction between the distribution of life insurance products and the distribution of other insurance products has also been considered18.</w:t>
      </w:r>
    </w:p>
    <w:p>
      <w:r>
        <w:t>26. Regarding the geographical dimension of the markets for the distribution of insurance products, decision-making practice generally considers that the market for the distribution of insurance products on behalf of third parties is of national dimension given consumer preferences, the existence of national legislation and tax constraints, the current structure of these markets, or the regulatory systems concerning this sector19.</w:t>
      </w:r>
    </w:p>
    <w:p>
      <w:r>
        <w:t>III. Competitive Analysis</w:t>
      </w:r>
    </w:p>
    <w:p>
      <w:r>
        <w:t>A. ANALYSIS OF HORIZONTAL EFFECTS</w:t>
      </w:r>
    </w:p>
    <w:p>
      <w:r>
        <w:t>1. MARKETS IN THE BANKING SECTOR</w:t>
      </w:r>
    </w:p>
    <w:p>
      <w:r>
        <w:t>27. The Rothschild &amp; Co and CFMM Groups are both active in the market for asset management on behalf of companies and institutional clients, and particularly in the segments of portfolio management and management of collective investment funds of the UCITS type, as well as in the private banking market.</w:t>
      </w:r>
    </w:p>
    <w:p>
      <w:r>
        <w:t>28. Following the operation, in each of these markets where there are numerous operators, the market share of the new entity will remain below 5%, regardless of the segmentations retained.</w:t>
      </w:r>
    </w:p>
    <w:p>
      <w:r>
        <w:t>2. MARKETS FOR THE DISTRIBUTION OF INSURANCE PRODUCTS ON BEHALF OF THIRD PARTIES</w:t>
      </w:r>
    </w:p>
    <w:p>
      <w:r>
        <w:t>29. In these markets, the market share of the parties is below 1% regardless of the segmentations retained.</w:t>
      </w:r>
    </w:p>
    <w:p>
      <w:r>
        <w:t>30. Consequently, the operation is not likely to harm competition through horizontal effects in the banking and insurance product sectors.</w:t>
      </w:r>
    </w:p>
    <w:p>
      <w:r>
        <w:rPr>
          <w:b/>
        </w:rPr>
        <w:t>[Pages 7–7]</w:t>
      </w:r>
    </w:p>
    <w:p>
      <w:r>
        <w:t>DECIDES</w:t>
      </w:r>
    </w:p>
    <w:p>
      <w:r>
        <w:t>Sole Article: The operation notified under number 16-147 is authorized.</w:t>
      </w:r>
    </w:p>
    <w:p>
      <w: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