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https://www.autoritedelaconcurrence.fr/fr/decision-de-controle-des-concentrations/relative-la-fusion-de-la-societe-smacl-assurances-et-de</w:t>
      </w:r>
    </w:p>
    <w:p>
      <w:r>
        <w:t>Pages translated : 2</w:t>
      </w:r>
    </w:p>
    <w:p/>
    <w:p>
      <w:r>
        <w:rPr>
          <w:b/>
        </w:rPr>
        <w:t>[Pages 1–2]</w:t>
      </w:r>
    </w:p>
    <w:p>
      <w:r>
        <w:t xml:space="preserve">FRENCH REPUBLIC  </w:t>
        <w:br/>
        <w:t xml:space="preserve">Decision No. 18-DCC-212 of December 7, 2018  </w:t>
        <w:br/>
        <w:t xml:space="preserve">regarding the merger of SMACL Assurances and the mutual group union UMG Groupe VYV  </w:t>
        <w:br/>
        <w:t xml:space="preserve">The Competition Authority,  </w:t>
        <w:br/>
        <w:t xml:space="preserve">Having regard to the complete notification file submitted to the mergers department on November 14, 2018, concerning the affiliation of SMACL Assurances to the mutual group union VYV, formalized by a memorandum of understanding dated July 4,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a de facto merger between SMACL Assurances and the mutual group union VYV. It constitutes a concentration within the meaning of Article L. 430-1 of the Commercial Code. Given the turnover achieved by the companies concerned, the notification thresholds of Article 1 paragraph 2 of Regulation (EC) 139/2004 are exceeded, but since each of the concerned companies generates more than two-thirds of its turnover within the Union in France,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the markets for insurance products and real estate services. These markets are consistently defined by the decision-making practice of the Competition Authority.  </w:t>
        <w:br/>
        <w:t xml:space="preserve">3. Regardless of the segmentations retained, the cumulative market shares of the parties are below 25% when their activities overlap in the same market, and below 30% in upstream, downstream, or related markets.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18-233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