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https://www.autoritedelaconcurrence.fr/fr/decision-de-controle-des-concentrations/relative-la-fusion-des-cooperatives-agricoles-terres-du-sud</w:t>
      </w:r>
    </w:p>
    <w:p>
      <w:r>
        <w:t>Pages translated : 17</w:t>
      </w:r>
    </w:p>
    <w:p/>
    <w:p>
      <w:r>
        <w:rPr>
          <w:b/>
        </w:rPr>
        <w:t>[Pages 1–3]</w:t>
      </w:r>
    </w:p>
    <w:p>
      <w:r>
        <w:t>FRENCH REPUBLIC</w:t>
        <w:br/>
        <w:t>Decision No. 26-DCC-10 of January 15, 2026</w:t>
        <w:br/>
        <w:t>regarding the merger of the agricultural cooperatives</w:t>
        <w:br/>
        <w:t>Terres du Sud and Vivadour</w:t>
        <w:br/>
        <w:t>The Competition Authority,</w:t>
        <w:br/>
        <w:t>Having regard to the notification file submitted in full to the concentrations service on December 16, 2025, regarding the merger of the agricultural cooperatives Terres du Sud and Vivadour, formalized by a draft merger agreement signed on October 31, 2025;</w:t>
        <w:br/>
        <w:t>Having regard to Book IV of the Commercial Code relating to the freedom of prices and competition, and in particular its Articles L. 430-1 to L. 430-7;</w:t>
        <w:br/>
        <w:t>Having regard to the additional elements submitted by the notifying parties during the investigation;</w:t>
        <w:br/>
        <w:t>Having regard to the other documents in the file;</w:t>
        <w:br/>
        <w:t>Adopts the following decision:</w:t>
      </w:r>
    </w:p>
    <w:p>
      <w:r>
        <w:t>SUMMARY</w:t>
        <w:br/>
        <w:t>I. THE COMPANIES CONCERNED AND THE OPERATION .............. 3</w:t>
        <w:br/>
        <w:t>II. DELIMITATION OF THE RELEVANT MARKETS ........................... 4</w:t>
        <w:br/>
        <w:t>A. THE UPSTREAM MARKETS FOR THE COLLECTION OF COP .........................................4</w:t>
        <w:br/>
        <w:t>1. THE PRODUCT MARKETS .....................................................................................4</w:t>
        <w:br/>
        <w:t>2. THE GEOGRAPHICAL MARKETS ..............................................................................4</w:t>
        <w:br/>
        <w:t>B. THE RETAIL MARKETS FOR AGRO-SUPPLY PRODUCTS ................................................................................................6</w:t>
        <w:br/>
        <w:t>1. THE PRODUCT MARKETS .....................................................................................6</w:t>
        <w:br/>
        <w:t>2. THE GEOGRAPHICAL MARKETS ..............................................................................8</w:t>
        <w:br/>
        <w:t>C. THE MARKETS FOR THE COLLECTION OF POULTRY FOR SLAUGHTER ................................................................................................................8</w:t>
        <w:br/>
        <w:t>1. THE PRODUCT MARKETS .....................................................................................8</w:t>
        <w:br/>
        <w:t>2. THE GEOGRAPHICAL MARKETS ..............................................................................9</w:t>
        <w:br/>
        <w:t>III. COMPETITIVE ANALYSIS .................................................... 10</w:t>
        <w:br/>
        <w:t>A. THE MARKETS FOR THE COLLECTION OF COP ........................................................10</w:t>
        <w:br/>
        <w:t>1. ANALYSIS IN THE DEPARTMENT OF LOT-ET-GARONNE ...................................11</w:t>
        <w:br/>
        <w:t>Feugarolles Area .............................................................................................12</w:t>
        <w:br/>
        <w:t>2. LOCAL ANALYSES AT 15 KILOMETERS .................................................................12</w:t>
        <w:br/>
        <w:t>B. THE RETAIL MARKETS FOR AGRO-SUPPLY PRODUCTS INTENDED FOR LAND CULTIVATION ..............12</w:t>
        <w:br/>
        <w:t>C. THE MARKETS FOR THE COLLECTION OF POULTRY FOR SLAUGHTER ..............................................................................................................14</w:t>
        <w:br/>
        <w:t>1. ON THE RISK OF UNILATERAL EFFECTS ...............................................................14</w:t>
        <w:br/>
        <w:t>2. ON THE RISK OF ECONOMIC DEPENDENCE OF SLAUGHTERHOUSES .........................14</w:t>
        <w:br/>
        <w:t>3. ON THE RISK OF COORDINATED EFFECTS ................................................................15</w:t>
        <w:br/>
        <w:t>DECIDES ......................................................................................................... 17</w:t>
      </w:r>
    </w:p>
    <w:p>
      <w:r>
        <w:t>I. The Companies Concerned and the Operation</w:t>
        <w:br/>
        <w:t>1. Terres du Sud is an agricultural cooperative group, primarily located in the departments of Dordogne (24), Gironde (33), and Lot-et-Garonne (47), comprising approximately 6,000 member farmers. The group operates in several sectors, notably the collection and storage of cereal, oilseed, and protein crop harvests (hereinafter "COP"), in both conventional and organic farming, the marketing and distribution of agro-supply products and agro-equipment materials, the collection, slaughtering, and marketing of bovine meats, poultry, and palmipeds, the production and marketing of animal nutrition products, as well as the production, collection, and marketing of fruits and vegetables. Terres du Sud is also active in the retail distribution of gardening and DIY items, through its subsidiary Carré Vert, which operates points of sale under the brands "Gamm Vert" and "Gamm Vert Village."</w:t>
        <w:br/>
        <w:t>2. Vivadour is an agricultural cooperative group, primarily located in the departments of Gers (32), Hautes Pyrénées (65), Landes (40), Lot-et-Garonne (47), and Haute-Garonne (31), comprising approximately 3,000 member farmers. The group operates in several sectors, notably the collection and storage of COP harvests, in both conventional and organic farming, the marketing and distribution of agro-supply products, the production, collection, and marketing of fruits and vegetables, the production and collection of poultry and palmipeds, the collection, cutting, and marketing of bovine meats, as well as the production and collection of eggs. It also engages in the production and marketing of animal nutrition products, as well as the collection, processing, and vinification of grapes intended for marketing. Finally, Vivadour is active in the retail distribution of gardening and DIY items, through its subsidiary Gascovert, which operates points of sale under the brand "Gamm Vert."</w:t>
        <w:br/>
        <w:t>3. The agreement protocol of October 31, 2025, specifies the conditions of the operation which consists of a merger by absorption in which Terres du Sud is the absorbing company and Vivadour is the absorbed company.</w:t>
        <w:br/>
        <w:t>4. As it results in the merger of Terres du Sud and Vivadour, the notified operation constitutes a concentration within the meaning of Article L. 430-1 of the Commercial Code.</w:t>
        <w:br/>
        <w:t>5. The companies concerned together achieve a total worldwide turnover of more than 150 million euros (Terres du Sud: 650 million euros for the fiscal year ending June 30, 2024; Vivadour: 540 million euros for the same fiscal year). Each of these companies achieves a turnover in France exceeding 50 million euros (Terres du Sud: [≥ 50] million euros for the fiscal year ending June 30, 2024; Vivadour: [≥ 50] million euros for the same fiscal year).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rPr>
          <w:b/>
        </w:rPr>
        <w:t>[Pages 4–6]</w:t>
      </w:r>
    </w:p>
    <w:p>
      <w:r>
        <w:t>II. Delimitation of Relevant Markets</w:t>
        <w:br/>
        <w:t>6. Terres du Sud and Vivadour are primarily active in the sectors of COP collection (A), marketing of agro-supply products (B), and poultry collection for slaughter (C)1.</w:t>
      </w:r>
    </w:p>
    <w:p>
      <w:r>
        <w:t>A. THE UPSTREAM MARKETS OF COP COLLECTION</w:t>
        <w:br/>
        <w:t>1. THE PRODUCT MARKETS</w:t>
        <w:br/>
        <w:t>7. According to national decision-making practice2, there exists a single market for COP collection, insofar as collection silos can store all types of grains interchangeably, some of which only require specific infrastructures, such as dryers for corn or sorting tools for peas. However, the vast majority of collecting organizations have all the infrastructures suitable for each type of grain, allowing them to store all COP.</w:t>
      </w:r>
    </w:p>
    <w:p>
      <w:r>
        <w:t>8. The Authority has had the opportunity to specify that COP collection can be ensured from two types of collection points: either a simple collection platform during the harvest period; or a high-performance storage silo, with infrastructures suitable for processing and preserving grain3. Even though these two types of infrastructures do not exert the same competitive pressure on the market, they belong to the same product market, as the Authority has not segmented based on whether the collection is delivered to a silo or a platform.</w:t>
      </w:r>
    </w:p>
    <w:p>
      <w:r>
        <w:t>9. In this case, there is no reason to challenge this delimitation of the product market.</w:t>
      </w:r>
    </w:p>
    <w:p>
      <w:r>
        <w:t>2. THE GEOGRAPHICAL MARKETS</w:t>
        <w:br/>
        <w:t>10. According to national decision-making practice4, COP collection is a market of local dimension. Indeed, the main criterion retained by farmers for choosing the collection points to which they deliver their production is geographical proximity.</w:t>
      </w:r>
    </w:p>
    <w:p>
      <w:r>
        <w:t>1 The parties are also simultaneously active in the downstream market for the marketing of COP, in the sectors of seeds, on the markets for fertilizer production, supply of agro-supply products, retail distribution of agro-supply products intended for livestock, and the sectors of animal nutrition, cattle, palmipeds, fruits and vegetables, distribution of agricultural fuel, as well as the transport of goods. However, in these markets analyzed in accordance with the Authority's decision-making practice, the new entity will have market shares below 25% or the market share increment resulting from the operation is less than two points. Therefore, the presentation and competitive analysis of these markets are not detailed in this decision.</w:t>
      </w:r>
    </w:p>
    <w:p>
      <w:r>
        <w:t>2 See in particular the Authority's decisions No. 19-DCC-147, No. 19-DCC-266, No. 20-DCC-82, and No. 24-DCC-127 cited above.</w:t>
      </w:r>
    </w:p>
    <w:p>
      <w:r>
        <w:t>3 See the Authority's decision No. 24-DCC-127 cited above.</w:t>
      </w:r>
    </w:p>
    <w:p>
      <w:r>
        <w:t>4 See in particular the Authority's decisions No. 19-DCC-147, No. 19-DCC-266, No. 20-DCC-82, and No. 24-DCC-127 cited above.</w:t>
      </w:r>
    </w:p>
    <w:p>
      <w:r>
        <w:t>11. The analysis method adopted by the Authority in its previous decisions consists of conducting an initial analysis at the departmental level to identify the areas where the parties' activities primarily overlap. A more detailed analysis can be carried out in areas within a radius of 45 kilometers around the parties' collection points when their position is significant.</w:t>
      </w:r>
    </w:p>
    <w:p>
      <w:r>
        <w:t>12. In this case, the parties' activities primarily overlap in Lot-et-Garonne, at its border with the department of Gers.</w:t>
        <w:br/>
        <w:t>Source: data provided by the notifying parties</w:t>
      </w:r>
    </w:p>
    <w:p>
      <w:r>
        <w:t>13. The Authority, however, recalls that the analysis can be conducted in an even narrower perimeter when the characteristics of the area or a collection point of one of the parties justify it. In this regard, it has already verified the existence of a sufficient number of competing collection points located near the parties' collection points, within a radius of 15 kilometers around the latter5.</w:t>
      </w:r>
    </w:p>
    <w:p>
      <w:r>
        <w:t>14. Given the complementary location of the parties' collection points that primarily compete in a limited interdepartmental area, the competitive analysis has also been conducted across all overlapping collection areas of the parties, defined by a radius of 15 kilometers, and, when particular circumstances warrant, taking into account the effects of "border area."</w:t>
      </w:r>
    </w:p>
    <w:p>
      <w:r>
        <w:t>5 See in this regard the Authority's decision No. 17-DCC-210 concerning the merger by absorption of the Cooperative of Farmers of Mayenne by the agricultural cooperative Terrena, para. 201, and the Authority's decisions No. 19-DCC-108, para. 90, No. 19-DCC-147, para. 414, and No. 20-DCC-82, para. 152, cited above.</w:t>
      </w:r>
    </w:p>
    <w:p>
      <w:r>
        <w:t>B. THE MARKETS FOR RETAIL DISTRIBUTION OF AGRO-SUPPLY PRODUCTS</w:t>
        <w:br/>
        <w:t>15. The agro-supply sector includes all companies that provide farmers with the means to produce: seeds, phytosanitary products, fertilizers, and amendments (organic or mineral)6, as well as agricultural equipment and veterinary products. Retail sales to farmers are carried out, among others, by agricultural cooperatives.</w:t>
      </w:r>
    </w:p>
    <w:p>
      <w:r>
        <w:t>16. The Authority thus distinguishes an upstream market involving manufacturers as sellers (sometimes the cooperatives themselves when they manufacture agro-supply products) and distributors (agricultural cooperatives or trading companies) as buyers, on the one hand, and, on the other hand, a downstream market, which brings these latter together, this time as resellers, and farmers as buyers7.</w:t>
      </w:r>
    </w:p>
    <w:p>
      <w:r>
        <w:t>17. In this case, the parties are simultaneously active in the downstream market for the retail distribution of agro-supply products to farmers.</w:t>
      </w:r>
    </w:p>
    <w:p>
      <w:r>
        <w:t>1. THE PRODUCT MARKETS</w:t>
        <w:br/>
        <w:t>18. The Authority notably distinguishes agro-supply products intended for land cultivation8 from those intended for livestock9.</w:t>
      </w:r>
    </w:p>
    <w:p>
      <w:r>
        <w:t>19. In this case, the parties simultaneously distribute agro-supply products intended for land cultivation.</w:t>
      </w:r>
    </w:p>
    <w:p>
      <w:r>
        <w:t>6 An amendment is a material added to soil to improve its agricultural quality. Amendments are therefore used in agriculture and gardening to improve land and make it more productive. One of the most well-known amendments is lime, used to reduce soil acidity.</w:t>
      </w:r>
    </w:p>
    <w:p>
      <w:r>
        <w:t>7 See in particular the Authority's decisions No. 13-DCC-170 of November 20, 2013, concerning the merger-absorption of the agricultural cooperatives Epis-Centre, Epis-Sem, and Agralys by the Union of Agricultural Cooperatives Axereal, No. 16-DCC-59 of April 19, 2016, concerning the exclusive control of the cooperatives Colarena Presqu’île, Poitouraine, UCAL-CP, Cooperative Dairy of the Pays de Gâtine, Cooperative Cheese Factory of Chaunay, Monts Laits, and Val Sud by the agricultural cooperative Agrial, No. 16-DCC-13 of January 29, 2016, concerning the merger between the cooperatives Charentes Alliance and Corea, No. 16-DCC-147 of September 21, 2016, concerning the exclusive control of the company Agri-Négoce by the company Axéréal Participations, No. 17-DCC-210 cited above, and No. 19-DCC-108 of May 29, 2019, concerning the merger between the agricultural cooperatives Acolyance and Cerena.</w:t>
      </w:r>
    </w:p>
    <w:p>
      <w:r>
        <w:t>8 See in particular the Authority's decisions No. 16-DCC-147 and No. 19-DCC-147 cited above.</w:t>
      </w:r>
    </w:p>
    <w:p>
      <w:r>
        <w:t>9 See the Authority's decisions No. 09-DCC-32 of July 29, 2009, concerning the merger of the producers' group of pigs from Armorique and the producers' group of pigs from the West, No. 10-DCC-137 of October 18, 2010, concerning the merger between the cooperatives Coop Pigalys, PSB, PBO, LT, the union of cooperatives Union Pigalys, and the pig farming branch of Terrena, No. 12-DCC-49 and No. 19-DCC-147 cited above.</w:t>
      </w:r>
    </w:p>
    <w:p>
      <w:r>
        <w:rPr>
          <w:b/>
        </w:rPr>
        <w:t>[Pages 7–9]</w:t>
      </w:r>
    </w:p>
    <w:p>
      <w:r>
        <w:t>20. Within these products, the Authority distinguishes seeds10, fertilizers, phytosanitary products, other agricultural materials, and amendments11, while highlighting the existence of strong substitutability on the supply side insofar as the vast majority of distributors offer these different categories of products12. More specifically regarding the distribution of seeds, the existence of a sub-segment consisting of seeds intended for organic farming has been considered13.</w:t>
      </w:r>
    </w:p>
    <w:p>
      <w:r>
        <w:t>21. The Authority has also adopted a segmentation for each product family based on the type of cultivation, notably distinguishing between market gardening and mixed farming14.</w:t>
      </w:r>
    </w:p>
    <w:p>
      <w:r>
        <w:t>22. Furthermore, it has considered the existence of a distinct market for the distribution of vineyard products, which may be segmented according to the category of products: vine training materials, oenology materials, packaging materials, fertilizers, and phytosanitary products15.</w:t>
      </w:r>
    </w:p>
    <w:p>
      <w:r>
        <w:t>23. On the other hand, the Authority has determined that there is no need to segment by distribution channel, as traders and agricultural cooperatives offer farmers a similar range of products16. Indeed, even if significant differences between these two types of actors may persist, in terms of status, taxation, or the nature of contractual relationships with farmers, these do not suffice to distinguish these two distribution channels.</w:t>
      </w:r>
    </w:p>
    <w:p>
      <w:r>
        <w:t>24. In this case, the parties primarily distribute amendments, fertilizers, phytosanitary products, and seeds (both organic and non-organic), as well as small agricultural equipment intended for mixed farming. They also distribute fertilizers, phytosanitary products, training materials, oenology materials, and packaging materials intended for viticulture. Finally, they distribute fertilizers, phytosanitary products, amendments, and both organic and non-organic seeds intended for market gardening.</w:t>
      </w:r>
    </w:p>
    <w:p>
      <w:r>
        <w:t>10 This market corresponds to the short circuit through which cooperatives directly supply their member farmers with seeds, as opposed to the long circuit corresponding to the market for the production and marketing of seeds from other cooperatives or traders (see the Authority's decisions n° 16-DCC-13 and n° 19-DCC-147 mentioned above).</w:t>
      </w:r>
    </w:p>
    <w:p>
      <w:r>
        <w:t>11 An amendment is a material added to soil to improve its agricultural quality. Amendments are therefore used in agriculture and gardening to enhance the land and make it more productive. One of the most well-known amendments is lime, used to reduce soil acidity.</w:t>
      </w:r>
    </w:p>
    <w:p>
      <w:r>
        <w:t>12 See notably the Authority's decisions n° 10-DCC-41 of May 10, 2010, regarding the merger by absorption of the cooperatives Capafrance and Force 5 by the cooperative Océal, n° 10-DCC-66 of June 28, 2010, regarding the transformation of RAGT Semences into a joint venture controlled by RAGT and CAF Grains, n° 11-DCC-150 of October 10, 2011, regarding the exclusive control of the cooperative Elle-et-Vire by the cooperative group Agrial, and n° 19-DCC-147 mentioned above.</w:t>
      </w:r>
    </w:p>
    <w:p>
      <w:r>
        <w:t>13 Ibid.</w:t>
      </w:r>
    </w:p>
    <w:p>
      <w:r>
        <w:t>14 See notably the Authority's decisions n° 11-DCC-150 and n° 19-DCC-147 mentioned above.</w:t>
      </w:r>
    </w:p>
    <w:p>
      <w:r>
        <w:t>15 See notably the Authority's decisions n° 09-DCC-90 of December 29, 2009, regarding the merger of the agricultural cooperative of Charente and the agricultural cooperative Syntéane, and n° 19-DCC-147 mentioned above.</w:t>
      </w:r>
    </w:p>
    <w:p>
      <w:r>
        <w:t>16 See notably the Authority's decisions n° 11-DCC-150 and n° 19-DCC-147 mentioned above.</w:t>
      </w:r>
    </w:p>
    <w:p>
      <w:r>
        <w:t>2. THE GEOGRAPHICAL MARKETS</w:t>
        <w:br/>
        <w:t>25. The Authority has adopted a local dimension for the retail distribution markets of agro-supply products, with the analysis being conducted at the departmental level17.</w:t>
      </w:r>
    </w:p>
    <w:p>
      <w:r>
        <w:t>26. In this case, the parties' activities primarily overlap in Lot-et-Garonne.</w:t>
      </w:r>
    </w:p>
    <w:p>
      <w:r>
        <w:t>C. THE MARKETS FOR THE COLLECTION OF POULTRY FOR SLAUGHTER</w:t>
        <w:br/>
        <w:t>1. THE PRODUCT MARKETS</w:t>
        <w:br/>
        <w:t>27. The Authority traditionally distinguishes as many markets as there are species of animals slaughtered18. Indeed, the sizes and weights of animals vary from one species to another, and slaughterhouses are generally equipped with specific equipment for the slaughter of each species of animal.</w:t>
      </w:r>
    </w:p>
    <w:p>
      <w:r>
        <w:t>28. Thus, there are as many product markets as there are types of poultry collected for slaughter: chickens, guinea fowl, turkeys, and ducks19. Indeed, there is no substitutability between the different species of poultry, both on the supply and demand sides, as poultry farmers are generally specialized by species, while slaughter lines are generally adapted to a particular species of poultry. An additional sub-segmentation, based on the existence or absence of a quality mark (label), has also been considered by the Authority20. Indeed, the breeding methods (in terms of duration, standards, and facilities, in particular), selection and multiplication of strains, and hatching21 differ between standard poultry and poultry benefiting from a label. Furthermore, the Authority did not recognize the existence of a specific market for the collection of organic poultry for slaughter, noting that the breeding of organic poultry was similar to that of labeled poultry, except for their feed, and that the same slaughter lines could be used for these two types of poultry22.</w:t>
      </w:r>
    </w:p>
    <w:p>
      <w:r>
        <w:t>29. In this case, the parties collect, for slaughter, primarily standard and labeled chickens.</w:t>
      </w:r>
    </w:p>
    <w:p>
      <w:r>
        <w:t>2. THE GEOGRAPHICAL MARKETS</w:t>
        <w:br/>
        <w:t>30. The collection of poultry for slaughter has a local dimension, defined by an area around each slaughterhouse. For standard poultry, this area varies according to the density of farming in the region concerned: a travel time of 1 hour and 30 minutes (by truck) for regions with high farming density such as Brittany or Pays de la Loire, and 2 hours and 30 minutes, or even 3 hours, for regions with lower farming density.</w:t>
      </w:r>
    </w:p>
    <w:p>
      <w:r>
        <w:t>31. Regarding labeled poultry, the slaughterhouse is generally located within a radius of a maximum of 100 kilometers, or 3 hours of travel, from a breeding location23. Labeled poultry falls under a specific regime, resulting from specifications approved by a ministerial decree. Thus, for example, the decree of July 31, 2017, approving the general specifications for Label Rouge imposes a maximum travel time of 3 hours or a maximum distance of 100 kilometers between farms and the slaughterhouse. Each slaughterhouse must specify to the Defense and Management Organization the criterion it wishes to retain, 100 kilometers or 3 hours, which corresponds in this case to a greater distance, and justify it. It is the criterion chosen by the slaughterhouses that determines the geographical dimension of these markets24.</w:t>
      </w:r>
    </w:p>
    <w:p>
      <w:r>
        <w:t>32. In practice, in decision n° 21-DCC-65 mentioned above, for the sole slaughterhouse of the parties located in the southwest (Landes), the Authority retained an area with a radius of 3 hours of travel for both standard and labeled poultry. In previous decisions, regarding slaughterhouses located in the southwest, a radius of 2 hours - 2 hours and 30 minutes was retained for the collection of standard poultry25. Finally, in an operation in which the parties concerned did not own any slaughterhouses, the collection area retained was, for standard poultry, 200 kilometers around third-party slaughterhouses and, for labeled poultry, 150 kilometers26.</w:t>
      </w:r>
    </w:p>
    <w:p>
      <w:r>
        <w:t>33. In any case, regardless of the geographical market retained, the conclusions of the competitive analysis remain unchanged.</w:t>
      </w:r>
    </w:p>
    <w:p>
      <w:r>
        <w:rPr>
          <w:b/>
        </w:rPr>
        <w:t>[Pages 10–12]</w:t>
      </w:r>
    </w:p>
    <w:p>
      <w:r>
        <w:t>III. Competitive Analysis</w:t>
        <w:br/>
        <w:t>34. The analysis below will detail the horizontal effects of the operation. Its vertical and conglomerate effects have also been examined as part of the case investigation: given the absence of affected upstream, downstream, and related markets linked to the markets where the parties' activities primarily overlap, their analysis will not be detailed in this decision.</w:t>
      </w:r>
    </w:p>
    <w:p>
      <w:r>
        <w:t>A. THE MARKETS FOR THE COLLECTION OF COP</w:t>
        <w:br/>
        <w:t>35. The parties' activities overlap in the following departments: Lot-et-Garonne, Dordogne, Haute-Garonne, Gers, Gironde, and Landes.</w:t>
      </w:r>
    </w:p>
    <w:p>
      <w:r>
        <w:t>36. Except for the department of Lot-et-Garonne, their combined market share over the last three harvests (2021/2022, 2022/2023, 2023/2024), calculated in volumes (tonnage collected), is below 25% and the increment in market share resulting from the operation is less than one point:</w:t>
        <w:br/>
        <w:t>Total Volume</w:t>
        <w:br/>
        <w:t>Volume of COP</w:t>
        <w:br/>
        <w:t>collected in the</w:t>
        <w:br/>
        <w:t>Department (in</w:t>
        <w:br/>
        <w:t>tonnes)</w:t>
        <w:br/>
        <w:t>Collected by the</w:t>
        <w:br/>
        <w:t>parties Market Share</w:t>
        <w:br/>
        <w:t>(season)</w:t>
        <w:br/>
        <w:t>Terres du Sud […] [40-50] %</w:t>
        <w:br/>
        <w:t>[…]</w:t>
        <w:br/>
        <w:t>Lot-et-Garonne Vivadour […] [0-5] %</w:t>
        <w:br/>
        <w:t>(2022/2023)</w:t>
        <w:br/>
        <w:t>New entity […] [50-60] %</w:t>
        <w:br/>
        <w:t>Terres du Sud […] [20-30] %</w:t>
        <w:br/>
        <w:t>[…]</w:t>
        <w:br/>
        <w:t>Dordogne Vivadour […] [0-5] %</w:t>
        <w:br/>
        <w:t>(2023/2024)</w:t>
        <w:br/>
        <w:t>New entity […] [20-30] %</w:t>
        <w:br/>
        <w:t>Terres du Sud […] [0-5] %</w:t>
        <w:br/>
        <w:t>[…]</w:t>
        <w:br/>
        <w:t>Haute-Garonne Vivadour […] [0-5] %</w:t>
        <w:br/>
        <w:t>(2021/2022)</w:t>
        <w:br/>
        <w:t>New entity […] [0-5] %</w:t>
        <w:br/>
        <w:t>Terres du Sud […] [0-5] %</w:t>
        <w:br/>
        <w:t>[…]</w:t>
        <w:br/>
        <w:t>Gers Vivadour […] [20-30] %</w:t>
        <w:br/>
        <w:t>(2021/2022)</w:t>
        <w:br/>
        <w:t>New entity […] [20-30] %</w:t>
        <w:br/>
        <w:t>Terres du Sud […] [10-20] %</w:t>
        <w:br/>
        <w:t>[…]</w:t>
        <w:br/>
        <w:t>Gironde Vivadour […] [0-5] %</w:t>
        <w:br/>
        <w:t>(2023/2024)</w:t>
        <w:br/>
        <w:t>New entity […] [10-20] %</w:t>
        <w:br/>
        <w:t>Terres du Sud […] [0-5] %</w:t>
        <w:br/>
        <w:t>[…]</w:t>
        <w:br/>
        <w:t>Landes Vivadour […] [0-5] %</w:t>
        <w:br/>
        <w:t>(2023/2024)</w:t>
        <w:br/>
        <w:t>New entity […] [0-5] %</w:t>
      </w:r>
    </w:p>
    <w:p>
      <w:r>
        <w:t>37. In all the departments where the parties' activities overlap, the new entity will collect approximately [20-30]% of the COP: this overall position is not likely to confer market power, particularly in terms of setting prices and conditions for collections from all its members or third-party farmers. The same applies at the level of each department, except for Lot-et-Garonne where a more detailed analysis is necessary given the strong position of the new entity in this department ([50-60]%).</w:t>
      </w:r>
    </w:p>
    <w:p>
      <w:r>
        <w:t>38. Furthermore, taking into account notably the interdepartmental nature of the areas of overlapping activity of the parties around their collection points mainly located in Lot-et-Garonne, the Authority conducted an analysis of the effects of the operation in areas defined by a radius of 15 kilometers, regardless of the level of the market share of the new entity at the departmental level and in the overlapping areas of their activities within a radius of 45 kilometers from their collection points27.</w:t>
      </w:r>
    </w:p>
    <w:p>
      <w:r>
        <w:t>1. ANALYSIS IN THE DEPARTMENT OF LOT-ET-GARONNE</w:t>
        <w:br/>
        <w:t>39. In this department, Terres du Sud operates [40-50] collection points, while Vivadour operates [5-10]28: the parties' activities overlap in 48 areas that have been examined within a radius of 45 kilometers and, where applicable, in the case of a strong position, within a radius of 15 kilometers, in accordance with the Authority's decision-making practice.</w:t>
      </w:r>
    </w:p>
    <w:p>
      <w:r>
        <w:t>40. In 47 of these 48 areas29, the operation is not likely to harm competition.</w:t>
      </w:r>
    </w:p>
    <w:p>
      <w:r>
        <w:t>41. Indeed, even though in most of these areas the market share of the new entity is below 50% or the increment in market share resulting from the operation is less than 2 points, the analysis conducted within a radius of 15 kilometers around the parties' collection points showed the presence of at least three collection points operated by credible competitors, listed in the FranceAgriMer database.</w:t>
      </w:r>
    </w:p>
    <w:p>
      <w:r>
        <w:t>42. Under these conditions, the operation does not lead to the disappearance of an important alternative for farmers located near the parties' collection points, nor to a significant strengthening of the position of the new entity at the local level.</w:t>
      </w:r>
    </w:p>
    <w:p>
      <w:r>
        <w:t>43. Only one area, around a silo located in Feugarolles, has thus been subject to a particular analysis given the local circumstances that led the Authority to examine the effects of the operation over a wider perimeter than the 15-kilometer zone.</w:t>
      </w:r>
    </w:p>
    <w:p>
      <w:r>
        <w:t>27 The examination of the effects of the operation in areas defined by a radius of 45 kilometers does not alter the conclusions of the competitive analysis.</w:t>
      </w:r>
    </w:p>
    <w:p>
      <w:r>
        <w:t>28 The parties specify that they jointly hold [10-20] silos in this department. Vivadour only holds the one located in Feugarolles. The new entity will therefore only hold 1 additional silo out of the [40-50] silos located in the department, of which [30-40] are competing silos. Furthermore, Vivadour specifies that the platform located in Calonges has been closed for two years, which the investigation has been able to confirm. [Confidential].</w:t>
      </w:r>
    </w:p>
    <w:p>
      <w:r>
        <w:t>29 In the area of Feugarolles, the combined market share of the parties is [40-50]%. Nevertheless, to avoid any threshold effect, it will be analyzed in the same manner as an area where the combined market share of the parties exceeds 50%.</w:t>
      </w:r>
    </w:p>
    <w:p>
      <w:r>
        <w:t>Feugarolles Area</w:t>
        <w:br/>
        <w:t>44. Within 15 kilometers around this collection point, the position of the new entity will rise to [40-50]%, with an increment of [5-10] points. However, in this area, only one competitor, Vitivista, has a silo compared to the [5-10] collection points of the new entity.</w:t>
      </w:r>
    </w:p>
    <w:p>
      <w:r>
        <w:t>45. The operation thus results in the disappearance of a local collection alternative in this area.</w:t>
      </w:r>
    </w:p>
    <w:p>
      <w:r>
        <w:t>46. Nevertheless, the investigation identified specific characteristics of this area, justifying the expansion of the competitive analysis beyond a radius of 15 kilometers and taking into account other collection points, mostly competitors.</w:t>
      </w:r>
    </w:p>
    <w:p>
      <w:r>
        <w:t>47. In this regard, the Authority notes, as indicated by the notifying parties, the specificities related to the topography and the existence of adjacent and particularly developed rail, river, and road networks, facilitating access to collection infrastructures located beyond the 15-kilometer zone.</w:t>
      </w:r>
    </w:p>
    <w:p>
      <w:r>
        <w:t>48. Furthermore, a substantial part of the Feugarolles area corresponds to forests to the west, to vineyard areas and peri-urban, industrial, and commercial areas on the outskirts of Agen to the east, which explains why the area contains very few collection platforms compared to other areas.</w:t>
      </w:r>
    </w:p>
    <w:p>
      <w:r>
        <w:t>49. Given these elements, it appears relevant to take into account the competing alternatives present at the edge of the 15-kilometer zone.</w:t>
      </w:r>
    </w:p>
    <w:p>
      <w:r>
        <w:t>50. By expanding this collection area by a few kilometers, the Authority finds that the new entity will hold [5-10] collection points ([0-5] silos and [0-5] platforms) out of the [10-20] located in this area30. The competing alternatives consist of 1 platform and 1 silo from Vitivista, 1 silo from L'Œuf Gascon, and 3 silos from Agri-Alliance.</w:t>
      </w:r>
    </w:p>
    <w:p>
      <w:r>
        <w:t>51. In light of the above, any risk of harm to competition in the Feugarolles area can be ruled out.</w:t>
      </w:r>
    </w:p>
    <w:p>
      <w:r>
        <w:t>2. LOCAL ANALYSES AT 15 KILOMETERS</w:t>
        <w:br/>
        <w:t>52. In addition to the area in the department of Lot-et-Garonne examined below, at 15 and 20 kilometers, it appears from the elements of the notified file that in no other local area do the overlapping activities of the parties give rise to market shares exceeding 50%.</w:t>
      </w:r>
    </w:p>
    <w:p>
      <w:r>
        <w:t>53. Consequently, any risk of harm to competition can be ruled out in the upstream markets for the collection of COP.</w:t>
      </w:r>
    </w:p>
    <w:p>
      <w:r>
        <w:t>B. THE MARKETS FOR THE RETAIL DISTRIBUTION OF AGRO-SUPPLY PRODUCTS INTENDED FOR LAND CULTIVATION</w:t>
        <w:br/>
        <w:t>54. The parties simultaneously engage in the distribution of agro-supply products intended for mixed farming, market gardening, and viticulture.</w:t>
      </w:r>
    </w:p>
    <w:p>
      <w:r>
        <w:rPr>
          <w:b/>
        </w:rPr>
        <w:t>[Pages 13–15]</w:t>
      </w:r>
    </w:p>
    <w:p>
      <w:r>
        <w:t>55. Regarding mixed farming and market gardening, regardless of the segmentation adopted, and for all the departments concerned except for Lot-et-Garonne, the market share of the new entity will be less than 25%.</w:t>
      </w:r>
    </w:p>
    <w:p>
      <w:r>
        <w:t>56. In Lot-et-Garonne, where the market share of the new entity is between 25% and 50% for fertilizers, phytosanitary products, and seeds, and [50-60]% for non-organic seeds, the increment in market shares resulting from the operation is systematically less than [2-5] points.</w:t>
      </w:r>
    </w:p>
    <w:p>
      <w:r>
        <w:t>57. The competitive structure of these markets is therefore not altered as the new entity will continue to face competition from at least three players who have larger market shares than Vivadour prior to the operation in the department of Lot-et-Garonne, such as Agri Alliance, Appro d’oc, Euralis, Vidal-Périgourdine, and Vitivista.</w:t>
      </w:r>
    </w:p>
    <w:p>
      <w:r>
        <w:t>58. Regarding viticulture31, when the market share of the new entity exceeds 25%, which is notably the case for phytosanitary products for vines in Gers, Landes, and Lot-et-Garonne (respectively [30-40]%, [40-50]%, and [30-40]%), the increments in market shares resulting from the operation are very low ([0-2] point) for Gers and [0-2] point for Landes.</w:t>
      </w:r>
    </w:p>
    <w:p>
      <w:r>
        <w:t>59. In Lot-et-Garonne, this increment also remains limited ([5-10] points): the new entity ([30-40]%) will face an unchanged competitive market structure as it will continue to face competition from Vitivista ([30-40]%), Inovitis ([10-20]%), and Sodepac ([10-20]%).</w:t>
      </w:r>
    </w:p>
    <w:p>
      <w:r>
        <w:t>60. Specifically concerning the distribution of fertilizers for vines, the market share of the new entity will be less than 50% in Gers, Landes, and Lot-et-Garonne (respectively [30-40]%, [40-50]%, and [&lt; 30]%). The increments in market shares resulting from the operation are very low (respectively [0-2] point, [0-2] point, and [2-5] points).</w:t>
      </w:r>
    </w:p>
    <w:p>
      <w:r>
        <w:t>61. In light of the above, the operation is not likely to harm competition in the markets for the distribution of agro-supply products intended for land cultivation.</w:t>
      </w:r>
    </w:p>
    <w:p>
      <w:r>
        <w:t>31 In Gironde, regarding vines, the market share of the parties in the markets for phytosanitary products and that in the markets for fertilizers is less than [0-5]%.</w:t>
      </w:r>
    </w:p>
    <w:p>
      <w:r>
        <w:t>C. THE MARKETS FOR THE COLLECTION OF POULTRY FOR SLAUGHTER</w:t>
      </w:r>
    </w:p>
    <w:p>
      <w:r>
        <w:t>62. Only the cooperative group Terres du Sud operates a slaughterhouse in the concerned region: the operation therefore does not result in any overlap of activities between the parties regarding the demand for poultry for slaughter.</w:t>
      </w:r>
    </w:p>
    <w:p>
      <w:r>
        <w:t>63. On the other hand, in each collection area, defined from a slaughterhouse supplied by the parties, the following anticompetitive risks have been examined: the risk of unilateral effects resulting from the position of the new entity in a local collection area (and thus its ability to increase the prices of collected poultry for the slaughterhouse located in the heart of the area), the risk of economic dependence of this slaughterhouse, and finally the risk of coordinated effects resulting from the disappearance of an offer in the collection area.</w:t>
      </w:r>
    </w:p>
    <w:p>
      <w:r>
        <w:t>64. In this case, the activities of the parties mainly overlap in the markets for the collection of standard chickens and labeled chickens, around 7 slaughterhouses located [in the departments of Gers (32), Dordogne (24), Ariège (09), and Haute-Vienne (87)].</w:t>
      </w:r>
    </w:p>
    <w:p>
      <w:r>
        <w:t>1. ON THE RISK OF UNILATERAL EFFECTS</w:t>
      </w:r>
    </w:p>
    <w:p>
      <w:r>
        <w:t>65. The estimates provided by the parties indicate that, among the [5-10] local areas where the collection activities of the parties overlap, the market share of the new entity will be less than 50% in [5-10] of them, regardless of the segmentation considered.</w:t>
      </w:r>
    </w:p>
    <w:p>
      <w:r>
        <w:t>66. In the [0-5] areas, this market share is estimated, depending on the segments examined, to be between [50]% and [60]% in the area of the slaughterhouse [in the department of Haute-Vienne (87)] and between [50]% and [70]% in the area of the slaughterhouse [in the department of Dordogne (24)], with increments in market shares resulting from the operation of less than or equal to 2 points.</w:t>
      </w:r>
    </w:p>
    <w:p>
      <w:r>
        <w:t>67. Furthermore, in each of these [5-10] areas, the new entity will still face offers for chickens from at least three competitors. Among these are, for example, the companies Sanders, Volailles d’Albret, or Lur Berri for standard chickens and, for labeled chickens, Maïsadour, Euralis, Arterris, Volailles d’Albret, or Sanders.</w:t>
      </w:r>
    </w:p>
    <w:p>
      <w:r>
        <w:t>68. Given these elements, any risk of unilateral effects can be ruled out in the markets for the collection of poultry for slaughter.</w:t>
      </w:r>
    </w:p>
    <w:p>
      <w:r>
        <w:t>2. ON THE RISK OF ECONOMIC DEPENDENCE OF SLAUGHTERHOUSES</w:t>
      </w:r>
    </w:p>
    <w:p>
      <w:r>
        <w:t>69. Prior to the operation, the parties supply only 2 third-party slaughterhouses located [in the department of Gers (32)]. It is therefore necessary to examine the cumulative supply share of these slaughterhouses and the effect resulting from the merger of two suppliers to determine whether they are placed in a situation of economic dependence on the new entity.</w:t>
      </w:r>
    </w:p>
    <w:p>
      <w:r>
        <w:t>70. The supply share of the slaughterhouse located [in the department of Gers (32)] from the new entity is estimated at [70-80]%, with an increment (Terres du Sud) of less than 10 points.</w:t>
      </w:r>
    </w:p>
    <w:p>
      <w:r>
        <w:t>71. The supply share of the slaughterhouse located [in the department of Gers (32)] from the new entity is estimated at [60-70]%, with an increment (Terres du Sud) of [10-20] points.</w:t>
      </w:r>
    </w:p>
    <w:p>
      <w:r>
        <w:t>72. That being said, the Authority first notes that the supply shares from Vivadour were already significant before the operation, exceeding the economic dependence threshold of 22% examined by the Authority during the analysis of concentrations in the distribution sector32.</w:t>
      </w:r>
    </w:p>
    <w:p>
      <w:r>
        <w:t>73. Secondly, as already noted by the Authority in previous cases33, the sector is characterized by a system of contracting, which is encouraged by the Authority, notably to address price volatility. In this case, the supply contracts contain clauses for supply commitments (which are imposed on the slaughterhouses) and reciprocally for provision (which are imposed on the cooperatives), as well as an explicit description of the mechanisms for determining and indexing the price of poultry.</w:t>
      </w:r>
    </w:p>
    <w:p>
      <w:r>
        <w:t>74. Thirdly, a market test conducted with these slaughterhouses did not reveal any specific concerns about economic dependence related to the operation, particularly due to the existing contracts.</w:t>
      </w:r>
    </w:p>
    <w:p>
      <w:r>
        <w:t>75. Finally, the Authority notes, like the slaughterhouses surveyed in the context of the market test, the significant indirect participation of Vivadour in the capital of the company Fermiers du Gers, which operates the 2 concerned slaughterhouses and, consequently, the absence of any economic incentive for the new entity to degrade their financial results, for example by increasing the price of collected poultry or reducing supplies.</w:t>
      </w:r>
    </w:p>
    <w:p>
      <w:r>
        <w:t>3. ON THE RISK OF COORDINATED EFFECTS</w:t>
      </w:r>
    </w:p>
    <w:p>
      <w:r>
        <w:t>76. The present operation will lead to an increased concentration of supply regarding the collection of live poultry, bringing together two operators from a mature sector, which, in theory, could facilitate a tacit coordination of competitive behaviors in the market.</w:t>
      </w:r>
    </w:p>
    <w:p>
      <w:r>
        <w:t>77. As recalled by the Authority's decision-making practice, to demonstrate the risk of coordination, three cumulative conditions must be met: market transparency (detection condition), the ability to deter any behavior not aligned with the common interest of the concerned companies (deterrence condition), and the absence of counter-power from customers, suppliers, or potential competitors (non-contestation condition)34.</w:t>
      </w:r>
    </w:p>
    <w:p>
      <w:r>
        <w:t>78. In this case, this last criterion is not met given the characteristics of the French poultry sector in which the markets for the collection of chickens examined are situated.</w:t>
      </w:r>
    </w:p>
    <w:p>
      <w:r>
        <w:t>79. Indeed, the Authority notes that, according to consistent decision-making practice35, the downstream market for fresh poultry meat is national (and not local, unlike the upstream market of the...</w:t>
      </w:r>
    </w:p>
    <w:p>
      <w:r>
        <w:rPr>
          <w:b/>
        </w:rPr>
        <w:t>[Pages 16–17]</w:t>
      </w:r>
    </w:p>
    <w:p>
      <w:r>
        <w:t>collection). In other words, chicken farmers, and their collecting organizations, are ultimately in competition with farmers from all other French regions producing chickens, which exposes the latter to volume losses if they decide to increase their prices to the slaughterhouses.</w:t>
      </w:r>
    </w:p>
    <w:p>
      <w:r>
        <w:t>80. Regarding the markets for the collection of standard chickens, as the Authority has noted36, this competition is reinforced by imports of poultry meat, which today account for nearly half of national consumption according to official statistics37.</w:t>
      </w:r>
    </w:p>
    <w:p>
      <w:r>
        <w:t>81. Regarding the markets for the collection of labeled chickens, the analysis is similar. The Authority indeed points out that the main labels such as "Label Rouge," "Volaille Française," or "Agriculture Biologique (AB)" are national.</w:t>
      </w:r>
    </w:p>
    <w:p>
      <w:r>
        <w:t>82. Consequently, competition in the downstream market for the marketing of fresh poultry meat and, concerning standard chickens, the weight of imports are likely to discipline any inclination of the parties and their competitors in the examined collection areas to significantly increase their selling prices to the slaughterhouses following the operation.</w:t>
      </w:r>
    </w:p>
    <w:p>
      <w:r>
        <w:t>Conclusion</w:t>
      </w:r>
    </w:p>
    <w:p>
      <w:r>
        <w:t>83. In light of the above, the operation is not likely to have horizontal effects on the upstream markets for the collection of poultry for slaughter.</w:t>
      </w:r>
    </w:p>
    <w:p>
      <w:r>
        <w:t>General Conclusion</w:t>
      </w:r>
    </w:p>
    <w:p>
      <w:r>
        <w:t>84. Considering all the elements of the file, the operation is not likely to harm competition in the relevant markets.</w:t>
      </w:r>
    </w:p>
    <w:p>
      <w:r>
        <w:t>DECIDES</w:t>
      </w:r>
    </w:p>
    <w:p>
      <w:r>
        <w:t>Sole Article: The operation notified under number 25-155 is authorized.</w:t>
      </w:r>
    </w:p>
    <w:p>
      <w: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