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https://www.autoritedelaconcurrence.fr/fr/decision-de-controle-des-concentrations/relative-la-fusion-des-cooperatives-global-et-socaviac</w:t>
      </w:r>
    </w:p>
    <w:p>
      <w:r>
        <w:t>Pages translated : 7</w:t>
      </w:r>
    </w:p>
    <w:p/>
    <w:p>
      <w:r>
        <w:rPr>
          <w:b/>
        </w:rPr>
        <w:t>[Pages 1–3]</w:t>
      </w:r>
    </w:p>
    <w:p>
      <w:r>
        <w:t xml:space="preserve">FRENCH REPUBLIC  </w:t>
        <w:br/>
        <w:t xml:space="preserve">Decision No. 20-DCC-195 of December 29, 2020  </w:t>
        <w:br/>
        <w:t xml:space="preserve">regarding the merger of the cooperatives Global and Socaviac  </w:t>
        <w:br/>
        <w:t xml:space="preserve">The Competition Authority,  </w:t>
        <w:br/>
        <w:t xml:space="preserve">Having regard to the notification file submitted in full to the concentrations service on December 14, 2020, concerning the merger of the cooperatives Global and Socaviac, formalized by a draft merger agreement dated April 20, 2020;  </w:t>
        <w:br/>
        <w:t xml:space="preserve">Having regard to Book IV of the Commercial Code relating to the freedom of prices and competition, and in particular its Articles L. 430-1 to L. 430-7;  </w:t>
        <w:br/>
        <w:t xml:space="preserve">Having regard to the other documents in the file;  </w:t>
        <w:br/>
        <w:t xml:space="preserve">Adopts the following decision:  </w:t>
        <w:br/>
        <w:t xml:space="preserve">I. The companies concerned and the operation  </w:t>
        <w:br/>
        <w:t xml:space="preserve">1. Global is an agricultural cooperative company present in the East of France. It is primarily active in the sector of collecting, regrouping, and selling cattle, as well as in supplying products and equipment necessary for farms and animals (hygiene and animal health products, livestock feed, and farming equipment, technical support services, and advice), mainly on behalf of its 2,390 members. Global wholly owns the company Seleviandes, which engages in carcass cutting (bovine, ovine, caprine, equine, and porcine) on behalf of the cooperative's members as well as retail butchery. Global holds 38.2% of the capital of the company Feder, which manages the marketing activities of cattle intended for slaughter and fattening on behalf of its parent companies through branch supply-sale agreements.  </w:t>
        <w:br/>
        <w:t xml:space="preserve">2. Socaviac is an agricultural cooperative company present in numerous departments in the Center of France. It is primarily active in the sector of collecting and selling cattle, as well as in supplying products and equipment necessary for farms and animals (hygiene and animal health products, livestock feed, and farming equipment, technical support services, and advice), mainly on behalf of its 5,929 members. Socaviac also holds 38.2% of the capital of the company Feder.  </w:t>
        <w:br/>
        <w:t xml:space="preserve">3. The notified operation is formalized by a draft merger agreement signed by the parties on April 20, 2020. Upon completion of the operation, the cooperatives Global and Socaviac will merge within Global, which will change its name to Feder Élevage and will consequently acquire, at the same time, exclusive control of Feder, of which the parties together hold 76.4% of the capital before the operation.  </w:t>
        <w:br/>
        <w:t xml:space="preserve">4. Insofar as it entails the merger by absorption of the cooperative Socaviac by Global, the notified operation constitutes a concentration within the meaning of Article L. 430-1 of the Commercial Code.  </w:t>
        <w:br/>
        <w:t xml:space="preserve">5. The companies concerned together achieve a total worldwide turnover excluding taxes of more than 150 million euros (Global: 115.1 million euros for the fiscal year ending December 31, 2019; Socaviac: 121.9 million euros for the same fiscal year). At least two of these companies have achieved a turnover in France exceeding 50 million euros (Global: 115.1 million euros for the fiscal year ending December 31, 2019; Socaviac: 121.9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6. The parties are primarily active in the markets for the collection of animals for slaughter and for fattening.  </w:t>
        <w:br/>
        <w:t xml:space="preserve">A. MARKETS FOR THE COLLECTION OF ANIMALS FOR SLAUGHTER  </w:t>
        <w:br/>
        <w:t xml:space="preserve">1. PRODUCT MARKETS  </w:t>
        <w:br/>
        <w:t xml:space="preserve">7. Competition authorities consider that, in the meat sector, there are as many distinct markets as there are species of animals slaughtered. Indeed, to account for the sizes and weights of animals that vary from one species to another, slaughterhouses are generally equipped with specific equipment for each type of animal.  </w:t>
        <w:br/>
        <w:t xml:space="preserve">8. In this case, the parties are simultaneously active in the production of cattle for their collection and slaughter.  </w:t>
        <w:br/>
        <w:t xml:space="preserve">9. According to national decision-making practice, the collection of calves is distinguished from that of other cattle. Within the category of other cattle, the Authority has segmented between "young cattle," uncastrated male animals under two years of age, and "heavy cattle," taking into account differences related to their purchase price, quality, and the final destination of their meat. Furthermore, heavy cattle are classified into five categories based on their conformation. These are categories E, U, R, O, and P. The conformations O and P mainly include cattle from the dairy herd, while the conformations E, U, and R mainly include beef breeds. The Authority has thus performed a sub-segmentation based on the conformation of the animal, due to differences in price, use, and final destination of the meat, distinguishing between heavy dairy cattle on one hand, and heavy beef cattle on the other.  </w:t>
        <w:br/>
        <w:t xml:space="preserve">10. Moreover, concerning official quality and origin signs (hereinafter "SIQO"), the Authority has distinguished cattle falling under the controlled designation of origin (hereinafter "AOC") "Bœuf de Charolles" from other SIQO (red label "charolaise beef," "organic farming," protected geographical indication, and guaranteed traditional specialty).  </w:t>
        <w:br/>
        <w:t xml:space="preserve">11. There is no need to challenge these segmentations in the present decision.  </w:t>
        <w:br/>
        <w:t xml:space="preserve">12. In this case, the parties simultaneously collect calves, young cattle, and heavy dairy and beef cattle, some of which fall under SIQO, including the AOC "Bœuf de Charolles" and the red label "tender charolais."  </w:t>
        <w:br/>
        <w:t xml:space="preserve">2. GEOGRAPHICAL MARKETS  </w:t>
        <w:br/>
        <w:t>13. The Authority considers that the markets for the collection of cattle for slaughter have a local dimension, due in particular to specific constraints on long-distance transport, especially regarding meat quality and costs. Farmers</w:t>
      </w:r>
    </w:p>
    <w:p>
      <w:r>
        <w:rPr>
          <w:b/>
        </w:rPr>
        <w:t>[Pages 4–6]</w:t>
      </w:r>
    </w:p>
    <w:p>
      <w:r>
        <w:t>tend to favor selling their livestock to slaughterhouses located near their breeding sites, and the slaughterhouses secure the majority of their supply within a radius of 100 to 150 kilometers around their location, representing approximately 80% of the supply, and up to 300 kilometers to account for the remaining supply.</w:t>
      </w:r>
    </w:p>
    <w:p>
      <w:r>
        <w:t>14. In its recent decision-making practice, the Authority has thus considered markets of regional dimension, according to the administrative division prevailing before January 1, 2016.</w:t>
      </w:r>
    </w:p>
    <w:p>
      <w:r>
        <w:t>15. Regarding the collection of cattle under the AOC "Bœuf de Charolles" for slaughter, the geographical market corresponds to an area set by decree comprising several dozen municipalities located in the departments of Saône-et-Loire (71), Loire (42), Nièvre (58), and Rhône (69).</w:t>
      </w:r>
    </w:p>
    <w:p>
      <w:r>
        <w:t>16. There is no need to challenge these geographical dimensions in the present decision.</w:t>
      </w:r>
    </w:p>
    <w:p>
      <w:r>
        <w:t>17. In this case, the parties are simultaneously present in Auvergne, Burgundy, Center, Champagne-Ardenne, Franche-Comté, Limousin, and Rhône-Alpes.</w:t>
      </w:r>
    </w:p>
    <w:p>
      <w:r>
        <w:t>B. MARKETS FOR THE COLLECTION OF ANIMALS FOR FATTENING</w:t>
        <w:br/>
        <w:t>1. PRODUCT MARKETS</w:t>
        <w:br/>
        <w:t>18. The Authority has considered the existence of distinct markets for the collection for the fattening of calves aged eight days (lean calves) and of weaners, also called lean cattle. It is not necessary, in the present operation, to resolve the question of the existence of such markets.</w:t>
      </w:r>
    </w:p>
    <w:p>
      <w:r>
        <w:t>19. According to the parties, calves are collected from 14 days of age. Weaners include cattle from 3 months to 15 months. They indicate in particular that "cattle over 15 months can no longer be referred to as weaners. They are considered too old to meet the breeding criteria for weaners."</w:t>
      </w:r>
    </w:p>
    <w:p>
      <w:r>
        <w:t>20. In this case, the parties produce lean calves and weaners for fattening.</w:t>
      </w:r>
    </w:p>
    <w:p>
      <w:r>
        <w:t>2. GEOGRAPHICAL MARKETS</w:t>
        <w:br/>
        <w:t>21. The Authority has considered geographical markets for the collection of animals for fattening of national, regional, or departmental dimensions, without concluding on their exact delimitation.</w:t>
      </w:r>
    </w:p>
    <w:p>
      <w:r>
        <w:t>22. The question does not need to be resolved for the notified operation, as the conclusions of the competitive analysis will remain unchanged regardless of the geographical dimension retained.</w:t>
      </w:r>
    </w:p>
    <w:p>
      <w:r>
        <w:t>23. In this case, the competitive analysis will be conducted at these three geographical levels.</w:t>
      </w:r>
    </w:p>
    <w:p>
      <w:r>
        <w:t>III. Competitive Analysis</w:t>
        <w:br/>
        <w:t>24. The competitive analysis will primarily focus on the horizontal effects of the operation, resulting from the merger of the parties.</w:t>
      </w:r>
    </w:p>
    <w:p>
      <w:r>
        <w:t>HORIZONTAL EFFECTS</w:t>
        <w:br/>
        <w:t>25. Given the activities of the parties, the horizontal effects of the operation are likely to occur in the markets for the collection of cattle for slaughter (1) and for fattening (2).</w:t>
      </w:r>
    </w:p>
    <w:p>
      <w:r>
        <w:t>1. ON THE MARKETS FOR THE COLLECTION OF CATTLE FOR SLAUGHTER</w:t>
        <w:br/>
        <w:t>26. The cooperatives involved in the operation are simultaneously active in seven regions (according to the administrative division prevailing before January 1, 2016) in the production of cattle: Burgundy, Auvergne, Champagne-Ardenne, Franche-Comté, Center, Limousin, and Rhône-Alpes.</w:t>
      </w:r>
    </w:p>
    <w:p>
      <w:r>
        <w:t>27. In these regions, in the markets where the activities of the parties overlap, the combined market shares of the parties are below 25%, regardless of the segmentation considered, except for the markets for the collection of young cattle, cattle under the AOC Bœuf de Charolles, and cattle under the label rouge "tendre charolais," in Auvergne and Burgundy.</w:t>
      </w:r>
    </w:p>
    <w:p>
      <w:r>
        <w:t>28. Regarding the market for young cattle, the positions of the parties are as follows:</w:t>
        <w:br/>
        <w:t>Region Market Global Socaviac New entity</w:t>
        <w:br/>
        <w:t>Auvergne Young cattle [0-5]% [20-30]% [30-40]%</w:t>
        <w:br/>
        <w:t>Rhône-Alpes Young cattle [20-30]% [0-5]% [30-40]%</w:t>
      </w:r>
    </w:p>
    <w:p>
      <w:r>
        <w:t>29. It is noted that the addition of market share is only [0-5] concerning the Auvergne region. Furthermore, in each of these markets, the new entity will still face competition from operators with equivalent market shares, such as Sicarev Coop (30-40%), Sicagieb (5-15%), Établissements Puigrenier (0-5%), SVA (0-5%) for the Auvergne region and such as Sicarev Coop (20-30%), Unec (5-10%), Pama Turc Corneloup Philibert (5-10%) or Tarteret SAS (0-10%) for the Burgundy region.</w:t>
      </w:r>
    </w:p>
    <w:p>
      <w:r>
        <w:t>30. Regarding the production for the collection of cattle under SIQO, particularly for the AOC "Bœuf de Charolles," the market share of the new entity will be [20-30] ([20-30]% for Global and [0-5]% for Socaviac). However, the new entity will still face competition from Sicarev, which holds approximately [50-60]% market share and which, according to the parties, is "the leader in this segment and (...) controls the only outlet, namely the only slaughterhouse approved by the ODG." Furthermore, the new entity will also face competition from independent breeders.</w:t>
      </w:r>
    </w:p>
    <w:p>
      <w:r>
        <w:t>31. Finally, concerning the label rouge "tendre charolais," the market share of the new entity is estimated at [60-70]% in the Burgundy region in 2019. According to the parties, "according to information from the Association Label Rouge (ACLR), the ODG responsible for managing the Label Rouge Tendre Charolais, the market shares for 2020 are evolving towards a notable decrease in Feder's market shares."</w:t>
      </w:r>
    </w:p>
    <w:p>
      <w:r>
        <w:t>32. The new entity, at the national level, will face competition from Sicarev, the leading supplier of the label rouge "tendre charolais" ([40-50]%) and from smaller competitors with market shares below 5%.</w:t>
      </w:r>
    </w:p>
    <w:p>
      <w:r>
        <w:t>33. This market share can also be put into perspective as the parties supply only, via Feder, six slaughterhouses belonging notably to the Bigard group, to Sicarev and to the Éleveurs de la Chevillotte, and that some of these slaughterhouses also primarily source from Sicarev Coop, Sofrelim, or Franche Comté Élevage. Two other slaughterhouses owned by Sicarev also collect this label from competitors of the parties, including Sicarev Coop.</w:t>
      </w:r>
    </w:p>
    <w:p>
      <w:r>
        <w:t>34. Furthermore, for these slaughterhouses, the label rouge "tendre charolais" represents a marginal share of slaughtering capacities. Thus, according to the parties, the share of cattle under the label rouge is less than 14% of slaughtering capacities for the Sicarev slaughterhouses located in Roanne (42), Mignenes (89), Paray le Monial (71), at 2.2% for the Bigard slaughterhouse in Cuiseaux (71), and at 2.7% for the slaughterhouse of the Éleveurs de la Chevillotte located in Besançon (25).</w:t>
      </w:r>
    </w:p>
    <w:p>
      <w:r>
        <w:t>35. Thus, the slaughterhouses that collect cattle under the label rouge "tendre charolais" have alternatives in the areas concerned by the operation.</w:t>
      </w:r>
    </w:p>
    <w:p>
      <w:r>
        <w:t>36. Finally, the specifications for the label rouge do not include a geographical notion of production; the parties estimate that the production capacity can be estimated at 2 to 3 times the number of farms currently qualified, including the label rouge "tendre charolais." Thus, it does not appear that there are barriers to entry concerning the market for the label rouge "tendre charolais."</w:t>
      </w:r>
    </w:p>
    <w:p>
      <w:r>
        <w:t>37. Therefore, the operation is not likely to harm competition through horizontal effects in the markets for the collection of cattle for slaughter.</w:t>
      </w:r>
    </w:p>
    <w:p>
      <w:r>
        <w:rPr>
          <w:b/>
        </w:rPr>
        <w:t>[Pages 7–7]</w:t>
      </w:r>
    </w:p>
    <w:p>
      <w:r>
        <w:t xml:space="preserve">2. ON THE MARKETS FOR THE COLLECTION OF CATTLE INTENDED FOR FATTENING  </w:t>
        <w:br/>
        <w:t xml:space="preserve">38. The market share of the new entity will be less than 25%, regardless of the segmentation considered and the geographical dimension retained, whether national, regional, or local.  </w:t>
        <w:br/>
        <w:t xml:space="preserve">39. It is presumed that the operation does not harm competition through unilateral effects when the market share of the new entity is less than 25%.  </w:t>
        <w:br/>
        <w:t xml:space="preserve">40. In light of the above, the operation is not likely to generate horizontal effects on the market for the collection of cattle intended for fattening.  </w:t>
        <w:br/>
        <w:t xml:space="preserve">DECIDES  </w:t>
        <w:br/>
        <w:t xml:space="preserve">Sole Article: The operation notified under number 20-229 is authorized.  </w:t>
        <w:br/>
        <w:t xml:space="preserve">© Competition Authority  </w:t>
        <w:br/>
        <w:t xml:space="preserve">The Vice-President,  </w:t>
        <w:br/>
        <w:t xml:space="preserve">Henri Piffaut  </w:t>
        <w:br/>
        <w:t>See the Guidelines for the control of concentrations point 624.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