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https://www.autoritedelaconcurrence.fr/fr/decision-de-controle-des-concentrations/relative-la-fusion-des-groupes-ag2r-et-premalliance</w:t>
      </w:r>
    </w:p>
    <w:p>
      <w:r>
        <w:t>Pages translated : 4</w:t>
      </w:r>
    </w:p>
    <w:p/>
    <w:p>
      <w:r>
        <w:rPr>
          <w:b/>
        </w:rPr>
        <w:t>[Pages 1–3]</w:t>
      </w:r>
    </w:p>
    <w:p>
      <w:r>
        <w:t xml:space="preserve">FRENCH REPUBLIC  </w:t>
        <w:br/>
        <w:t xml:space="preserve">Decision No. 09-DCC-84 of December 21, 2009  </w:t>
        <w:br/>
        <w:t>regarding the merger of AG2R and Prémalliance groups</w:t>
      </w:r>
    </w:p>
    <w:p>
      <w:r>
        <w:t xml:space="preserve">The Competition Authority,  </w:t>
        <w:br/>
        <w:t xml:space="preserve">Having regard to the notification file sent to the concentrations service on October 14, 2009, and declared complete on November 24, 2009, concerning the merger of AG2R and Prémalliance groups, formalized by a partnership protocol signed on May 18, 2005;  </w:t>
        <w:br/>
        <w:t xml:space="preserve">Having regard to Book IV of the Commercial Code relating to price freedom and competition, and in particular its Articles L. 430-1 to L. 430-7;  </w:t>
        <w:br/>
        <w:t xml:space="preserve">Having regard to the additional elements transmitted by the parties during the investigation;  </w:t>
        <w:br/>
        <w:t>Adopts the following decision:</w:t>
      </w:r>
    </w:p>
    <w:p>
      <w:r>
        <w:t xml:space="preserve">I. The concerned companies and the operation  </w:t>
        <w:br/>
        <w:t xml:space="preserve">1. AG2R is a parity social protection group (hereinafter "GPPS") that brings together two Complementary Retirement Institutions (hereinafter "IRC"), UGRR-ISICA and UGRC*, three Provident Institutions (hereinafter "IP"), AG2R Prévoyance, ISICA Prévoyance, and INPCA, a union of mutual societies, five mutual societies, three insurance companies, an asset management company, a real estate asset management company, a company dedicated to retirement preparation, and two tourism organizations. Since 2008, AG2R and the insurance company La Mondiale have created a Mutual Insurance Group Company (hereinafter "SGAM"), AG2R-La Mondiale, so that they constitute a single economic entity within the meaning of concentration law1. The SGAM AG2R-La Mondiale is primarily active in the insurance and asset management sectors.  </w:t>
        <w:br/>
        <w:t xml:space="preserve">1 See decision C2007-49 / Letter from the Minister of Economy, Finance and Employment dated August 21, 2007, to the councils of the AG2R Prévoyance Provident Institute and La Mondiale, regarding a concentration in the health and retirement insurance sector, published in B.O.C.C.R.F. No. 8 bis of October 26, 2007.  </w:t>
        <w:br/>
        <w:t>*Corrected material error</w:t>
      </w:r>
    </w:p>
    <w:p>
      <w:r>
        <w:t xml:space="preserve">2. Prémalliance is a GPPS comprising two IRCs, Irsea and Capicaf, an IP, Prémalliance Prévoyance, a union of mutual societies, two mutual societies, two asset management companies, and an Economic Interest Grouping for the collection and recovery of retirement contributions.  </w:t>
        <w:br/>
        <w:t xml:space="preserve">3. Under the terms of the partnership protocol signed on May 18, 2005, AG2R and Prémalliance committed to creating a coordination structure for the top associations of their groups. Joint managements were established such as a technical management, an accounting management, an information systems and organization management, a complementary retirement activities management, and a procurement management. Furthermore, the Authority noted in decision No. 09-DCC-15 regarding a project to create a joint company by the provident institutions AG2R Prévoyance and Isica Prévoyance, on the one hand, and by the provident institution Prémalliance Prévoyance on the other hand, that "with regard to activities aimed at individuals, the commercial organization falls under a common national management for the AG2R and Prémalliance groups. Regarding activities aimed at businesses, the sales teams of AG2R and Prémalliance active in the Rhône-Alpes, Auvergne, and PACA regions are managed by a single regional management, working in coordination with the national commercial management."  </w:t>
        <w:br/>
        <w:t xml:space="preserve">4. Finally, it should be noted that, since 2008, Prémalliance has been integrated into the accounting perimeter of AG2R Prévoyance, following the request of the Insurance and Mutuals Control Authority.  </w:t>
        <w:br/>
        <w:t>5. As the Authority has already indicated in decision No. 09-DCC-15, the AG2R and Prémalliance groups have therefore gradually operated a de facto merger following the signing of the aforementioned partnership protocol, an operation constituting a concentration within the meaning of Article L. 430-1 of the Commercial Code. Given the turnover of the concerned companies2, the thresholds mentioned in Article L. 430-2 of the Commercial Code are exceeded without the operation being of community dimension. The operation is therefore subject to the provisions of Articles L. 430-3 and following of the Commercial Code relating to economic concentration.</w:t>
      </w:r>
    </w:p>
    <w:p>
      <w:r>
        <w:t xml:space="preserve">II. Definition of relevant markets  </w:t>
        <w:br/>
        <w:t xml:space="preserve">6. The AG2R and Prémalliance groups are simultaneously active in the markets for insurance products and asset management.  </w:t>
        <w:br/>
        <w:t xml:space="preserve">A. THE INSURANCE PRODUCT MARKETS  </w:t>
        <w:br/>
        <w:t xml:space="preserve">7. The decision-making practice, both community and national3, distinguishes within insurance activities between the markets of reinsurance, personal insurance, and property insurance. Furthermore, it is considered that, for each of these three categories, segmentation can be performed based on the types of risks to be insured (such as, for example, fire risks, accident risks, liability risks4...), the latter not being substitutable from the insured's point of view.  </w:t>
        <w:br/>
        <w:t xml:space="preserve">8. In the personal insurance market, an additional segmentation is made between group insurance contracts, concluded between an insurer and a subscriber distinct from the beneficiary, and individual insurance contracts where the subscriber is also the beneficiary5.  </w:t>
        <w:br/>
        <w:t xml:space="preserve">9. Moreover, insurance product markets are analyzed by the practice of competition authorities at the national level.  </w:t>
        <w:br/>
        <w:t xml:space="preserve">10. There is no need to challenge these delimitations during the examination of the present operation.  </w:t>
        <w:br/>
        <w:t xml:space="preserve">11. In this case, the parties are simultaneously active in the personal insurance sector and more specifically in the markets for individual complementary health insurance, collective complementary health insurance, and collective provident insurance.  </w:t>
        <w:br/>
        <w:t xml:space="preserve">B. THE ASSET MANAGEMENT MARKETS  </w:t>
        <w:br/>
        <w:t xml:space="preserve">12. National and community decision-making practice has distinguished within the asset management market between asset management on behalf of businesses and institutional clients and asset management aimed at individuals6. The parties are only present in the market for asset management on behalf of businesses and institutional clients.  </w:t>
        <w:br/>
        <w:t xml:space="preserve">13. Furthermore, the Minister of Economy, while leaving the question open, has considered an additional segmentation within this market between portfolio management, fund management, and private equity7.  </w:t>
        <w:br/>
        <w:t xml:space="preserve">14. Decision-making practice, both national and community, considers that the market for asset management on behalf of businesses and institutional clients, and its potential segments, are at least of national dimension.  </w:t>
        <w:br/>
        <w:t xml:space="preserve">15. There is no need to challenge these delimitations during the examination of the present decision.  </w:t>
        <w:br/>
        <w:t xml:space="preserve">4 See in particular decision No. COMP/M.4047 - Aviva/Ark Life mentioned above.  </w:t>
        <w:br/>
        <w:t xml:space="preserve">5 See in particular the decisions of the Minister of Economy No. C2007-49 of August 21, 2007, and No. C2008-77 of October 28, 2008.  </w:t>
        <w:br/>
        <w:t xml:space="preserve">6 See decision C2008-8 KBC / Richelieu of March 12, 2008, from the Minister of Economy and the decisions of the European Commission M.1043, BAT/Zürich, of February 16, 1998, and M.2131, BCP/Interamerican/Noverbank/JV, of September 15, 2000.  </w:t>
        <w:br/>
        <w:t>7 C2006-45/ Letter from the Minister of Economy, Finance and Industry dated August 10, 2006, to the councils of the National Savings Banks and the Federal Bank of Popular Banks, regarding a concentration in the banking services sector. See also decision 09-DCC-126 of the Competition Authority.</w:t>
      </w:r>
    </w:p>
    <w:p>
      <w:r>
        <w:rPr>
          <w:b/>
        </w:rPr>
        <w:t>[Pages 4–4]</w:t>
      </w:r>
    </w:p>
    <w:p>
      <w:r>
        <w:t xml:space="preserve">III. Competitive Analysis  </w:t>
        <w:br/>
        <w:t xml:space="preserve">16. The Council of State, in its decision of February 6, 2004 regarding the Seb/Moulinex operation by which the decision of the Minister of Economy of July 5, 2002 was annulled, decided that the Minister must rule again on this operation, and that "for this purpose, he may take into account all the factual data existing at the date on which he will rule." Consequently, regardless of the date of completion of the present operation, it must be assessed based on the most recent available data. Thus, the market shares indicated below are those for the year 2008.  </w:t>
        <w:br/>
        <w:t xml:space="preserve">17. In the individual complementary health insurance market, the cumulative market share of the merged entity is [0-5]% ([0-5]% for AG2R, [0-5]% for Prémalliance). Furthermore, the merged entity faces competition from groups such as MGEN, Groupama, and Swiss Life.  </w:t>
        <w:br/>
        <w:t xml:space="preserve">18. In the collective complementary health insurance market, the cumulative market share of the merged entity is [5-10]% ([5-10]% for AG2R, [0-5]% for La Mondiale, [0-5]% for Prémalliance). In this market, the merged entity faces competition, notably from Axa or the Malakoff-Médéric group.  </w:t>
        <w:br/>
        <w:t xml:space="preserve">19. In the collective provident insurance market, the cumulative market share of the merged entity is [5-10]% ([5-10]% for AG2R, [0-5]% for La Mondiale, [0-5]% for Prémalliance). In this market, the merged entity faces competition, notably from AXA and banking groups.  </w:t>
        <w:br/>
        <w:t xml:space="preserve">20. In the asset management market on behalf of companies and institutional clients, and its potential sub-segments, the market share, on a national scale, of the new entity does not exceed 2%. It would be even lower in a broader geographical market. Furthermore, the merged entity faces competition from players such as Société Générale Asset Management, Crédit Agricole Asset Management, or Natixis Asset Management, which manage asset portfolios amounting to more than 30 times that of the merged entity.  </w:t>
        <w:br/>
        <w:t xml:space="preserve">21. Given the above elements, the operation is not likely to harm competition.  </w:t>
        <w:br/>
        <w:t xml:space="preserve">DECIDES  </w:t>
        <w:br/>
        <w:t xml:space="preserve">Sole Article: The operation notified under number 09-0046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