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https://www.autoritedelaconcurrence.fr/fr/decision-de-controle-des-concentrations/relative-la-fusion-des-groupes-alsapan-et-de-p3g</w:t>
      </w:r>
    </w:p>
    <w:p>
      <w:r>
        <w:t>Pages translated : 2</w:t>
      </w:r>
    </w:p>
    <w:p/>
    <w:p>
      <w:r>
        <w:rPr>
          <w:b/>
        </w:rPr>
        <w:t>[Pages 1–2]</w:t>
      </w:r>
    </w:p>
    <w:p>
      <w:r>
        <w:t xml:space="preserve">FRENCH REPUBLIC  </w:t>
        <w:br/>
        <w:t xml:space="preserve">Decision No. 21-DCC-198 of November 5, 2021  </w:t>
        <w:br/>
        <w:t xml:space="preserve">regarding the merger of the Alsapan and P3G groups  </w:t>
        <w:br/>
        <w:t xml:space="preserve">The Competition Authority,  </w:t>
        <w:br/>
        <w:t xml:space="preserve">Having regard to the complete notification file submitted to the mergers department on October 11, 2021,  </w:t>
        <w:br/>
        <w:t xml:space="preserve">concerning the merger of the Alsapan and P3G groups, formalized by a memorandum of understanding dated  </w:t>
        <w:br/>
        <w:t xml:space="preserve">June 9,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merger by absorption of the Alsapan group into the P3G group, the latter will take the name Alpagroup. These two groups are primarily active in the sector of manufacturing and distributing furniture products. It constitutes a concentration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21-143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