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https://www.autoritedelaconcurrence.fr/fr/decision-de-controle-des-concentrations/relative-la-fusion-des-groupes-bouvet-et-fpee</w:t>
      </w:r>
    </w:p>
    <w:p>
      <w:r>
        <w:t>Pages translated : 8</w:t>
      </w:r>
    </w:p>
    <w:p/>
    <w:p>
      <w:r>
        <w:rPr>
          <w:b/>
        </w:rPr>
        <w:t>[Pages 1–3]</w:t>
      </w:r>
    </w:p>
    <w:p>
      <w:r>
        <w:t xml:space="preserve">FRENCH REPUBLIC  </w:t>
        <w:br/>
        <w:t xml:space="preserve">Decision No. 19-DCC-16 of January 30, 2019  </w:t>
        <w:br/>
        <w:t>regarding the merger of the Bouvet and FPEE groups</w:t>
      </w:r>
    </w:p>
    <w:p>
      <w:r>
        <w:t xml:space="preserve">The Competition Authority,  </w:t>
        <w:br/>
        <w:t xml:space="preserve">Having regard to the notification file sent to the merger service on November 28, 2018, declared complete on January 4, 2019, regarding the merger of the Bouvet and FPEE groups, formalized by a transfer protocol dated December 6, 2018;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The Bouvet group is jointly controlled by [the Bouvet family], via the company HPB. The Bouvet group is active in the industrial joinery sector and consists of three operational companies, André Bouvet, Minco, and Minco Chantier, engaged in the manufacturing of PVC, wood, aluminum, and mixed wood-aluminum joinery, as well as their installation.  </w:t>
        <w:br/>
        <w:t xml:space="preserve">2. The FPEE group is ultimately controlled by Mr. Marc Ettienne, via the company Chapitre 2, of which he holds […] % of the capital1. The FPEE group is also active in the industrial joinery sector and consists of eight subsidiaries, including the companies FPEE Industrie, Baie Bleue, Mixal, and Negomen, engaged in the manufacturing of joinery, the company Multilaque, specialized in the lacquering of sheets, the company Nord Cintres, specialized in the bending of PVC profiles, and the companies Art et Fenêtres SARL and Ouverture’s SAS, which manage the eponymous networks grouping independent resellers-installers of joinery products. The group also includes the company SCI Kerfleury, active in the real estate sector.  </w:t>
        <w:br/>
        <w:t xml:space="preserve">3. The operation, formalized by a transfer protocol dated December 6, 2018, consists of the transfer of all shares held by the partners of the Bouvet and FPEE groups to the company Chapitre 3, created for the purposes of the operation. Chapitre 3 will hold all the securities granting access to the capital of the Bouvet group and 99.6% of the securities granting access to the capital of the FPEE group. As it results in a merger of the Bouvet and FPEE groups, the notified operation constitutes a concentration operation within the meaning of Article L. 430-1 of the Commercial Code.  </w:t>
        <w:br/>
        <w:t>4. The companies concerned achieved a consolidated worldwide turnover excluding taxes of more than 150 million euros in the last closed financial year (Bouvet group: [≥ 150 million] euros for the financial year ended December 31, 2017; FPEE group: [≥ 50 million] euros for the financial year ended December 31, 2017). Each of these companies achieved, in France, a turnover exceeding 50 million euros (Bouvet group: [≥ 50 million] euros for the financial year ended December 31, 2017; FPEE group: [≥ 50 million] euros for the financial year ended December 31, 2017).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THE PRODUCT MARKETS  </w:t>
        <w:br/>
        <w:t>5. The parties are simultaneously active in the sectors of manufacturing windows, doors, and shutters. The FPEE group is also active in the sectors of gates, garden gates, and fences. The market for window manufacturing has been defined by decision-making practice2 while those for door and shutter manufacturing have been little addressed by it3. The notifying party proposes to consider, for each of these markets, segments related to the materials or products used. There is no need to question the segmentations proposed by the notifying party during the analysis of the present operation.</w:t>
      </w:r>
    </w:p>
    <w:p>
      <w:r>
        <w:t xml:space="preserve">1. THE MARKET FOR WINDOW MANUFACTURING  </w:t>
        <w:br/>
        <w:t xml:space="preserve">a) Segmentation by type of material  </w:t>
        <w:br/>
        <w:t xml:space="preserve">6. Decision-making practice4 has examined the market for window manufacturing by considering a segmentation based on the chosen materials, particularly due to the specific performances of these products in relation to their original quality. Wood is valued for its insulating qualities, PVC is acclaimed for its thermo-acoustic performance and ease of maintenance, aluminum is preferred for its strength and insensitivity to temperature variations. The question of further segmentation concerning the category of mixed wood-aluminum windows within the wooden window market has also been raised.  </w:t>
        <w:br/>
        <w:t xml:space="preserve">7. The Bouvet and FPEE groups are both active in the segments of manufacturing PVC, aluminum, wood, and mixed windows5.  </w:t>
        <w:br/>
        <w:t xml:space="preserve">8. The notifying party has not challenged this delineation.  </w:t>
        <w:br/>
        <w:t xml:space="preserve">9. In this case, the question of the exact definition of these markets can, however, be left open, the conclusions of the competitive analysis remaining unchanged, regardless of the segmentation adopted.  </w:t>
        <w:br/>
        <w:t xml:space="preserve">b) Segmentation by distribution channel  </w:t>
        <w:br/>
        <w:t xml:space="preserve">10. Decision-making practice6 has considered an additional segmentation within each of these material markets based on the chosen distribution channel: construction material trade, contractors, construction sites, and specialized branded networks.  </w:t>
        <w:br/>
        <w:t xml:space="preserve">11. It nevertheless emphasizes that it is uncertain whether the marketing conditions between these distribution channels present differences justifying the existence of distinct markets, as sales target different categories of professionals and do not result in direct sales to individuals.  </w:t>
        <w:br/>
        <w:t xml:space="preserve">12. The notifying party has not challenged this delineation.  </w:t>
        <w:br/>
        <w:t>13. In this case, the question of the precise delineation of these markets can, however, be left open, the conclusions of the competitive analysis remaining unchanged, regardless of the segmentation adopted.</w:t>
      </w:r>
    </w:p>
    <w:p>
      <w:r>
        <w:t xml:space="preserve">2. THE MARKET FOR DOOR MANUFACTURING  </w:t>
        <w:br/>
        <w:t xml:space="preserve">14. Decision-making practice7, without definitively settling the definition of the relevant market, has considered a distinction between standard doors and technical doors due to their mode of production, their prices, the applicable regulations and technical standards, and finally the different distribution channels.  </w:t>
        <w:br/>
        <w:t xml:space="preserve">15. The Bouvet and FPEE groups manufacture standard doors and are not present in the segment related to technical doors. The notifying party considers that it is appropriate to segment the market for standard door manufacturing based on the types of materials used for their design, similar to decision-making practice for windows. It also considers a segment related to service doors as the Bouvet and FPEE groups manufacture, in a very marginal way, this type of door.  </w:t>
        <w:br/>
        <w:t xml:space="preserve">16. Furthermore, it also considers that it is appropriate to segment the market for door manufacturing based on the following distribution channels: generalist networks (construction material trade).  </w:t>
        <w:br/>
        <w:t xml:space="preserve">5 BatiEtude, study of the window market in France in 2017, mixed wood-aluminum, wood-PVC, and hybrids.  </w:t>
        <w:br/>
        <w:t xml:space="preserve">6 The aforementioned letters.  </w:t>
        <w:br/>
        <w:t>7 See Decision No. 06-D-09 of April 11, 2006, regarding practices implemented in the door manufacturing sector.</w:t>
      </w:r>
    </w:p>
    <w:p>
      <w:r>
        <w:rPr>
          <w:b/>
        </w:rPr>
        <w:t>[Pages 4–6]</w:t>
      </w:r>
    </w:p>
    <w:p>
      <w:r>
        <w:t>construction materials and large DIY stores), contractors, construction sites, and specialized networks.</w:t>
      </w:r>
    </w:p>
    <w:p>
      <w:r>
        <w:t>17. However, there is no need to conclude on the precise delineation of this market, as the conclusions of the competitive analysis remain unchanged, regardless of the segmentation adopted.</w:t>
      </w:r>
    </w:p>
    <w:p>
      <w:r>
        <w:t>3. THE MARKET FOR SHUTTER MANUFACTURING</w:t>
      </w:r>
    </w:p>
    <w:p>
      <w:r>
        <w:t>18. Decision-making practice has considered a product market related to shutters as well as a specific market for roller shutters, further segmented according to the type of roller shutter (traditional, itself distinguished between tunnel-box and standard traditional roller shutter, monobloc, and block-bay) and whether the roller shutter is motorized or not.</w:t>
      </w:r>
    </w:p>
    <w:p>
      <w:r>
        <w:t>19. The notifying party, while taking into account decision-making practice, considers that the market for shutter manufacturing can be segmented based on the types of existing shutters (roller shutters, hinged shutters, sliding shutters, shutters…).</w:t>
      </w:r>
    </w:p>
    <w:p>
      <w:r>
        <w:t>20. Furthermore, it also considers that it is appropriate to segment the market for shutter manufacturing based on the following distribution channels: generalist networks (construction materials trade and large DIY stores), contractors, construction sites, and specialized networks.</w:t>
      </w:r>
    </w:p>
    <w:p>
      <w:r>
        <w:t>21. However, there is no need to conclude on the precise delineation of this market, as the conclusions of the competitive analysis remain unchanged, regardless of the segmentation adopted.</w:t>
      </w:r>
    </w:p>
    <w:p>
      <w:r>
        <w:t>B. GEOGRAPHICAL MARKETS</w:t>
      </w:r>
    </w:p>
    <w:p>
      <w:r>
        <w:t>1. THE MARKET FOR WINDOW MANUFACTURING</w:t>
      </w:r>
    </w:p>
    <w:p>
      <w:r>
        <w:t>22. Regarding the geographical delineation of the window manufacturing markets, decision-making practice has retained a national dimension. Indeed, the technical regulations, particularly the standards applicable to windows as well as the recent thermal regulations for housing, are national, limiting the entry possibilities for foreign window manufacturers. Furthermore, transportation costs are relatively low, and manufacturers generally offer a uniform product range across the entire French territory. Manufacturers also have strong distribution networks established throughout the territory or are able to deliver their products quickly at a relatively low cost. Consequently, a narrower geographical market segmentation can be excluded.</w:t>
      </w:r>
    </w:p>
    <w:p>
      <w:r>
        <w:t>23. The notifying party considers that the French market has been penetrated in recent years by foreign players, particularly from Eastern European countries. However, it has retained in its analysis national markets as relevant geographical markets, in accordance with previous decision-making practice.</w:t>
      </w:r>
    </w:p>
    <w:p>
      <w:r>
        <w:t>24. There is no need to challenge these definitions in the context of the present operation. The competitive analysis will therefore be conducted at the national level.</w:t>
      </w:r>
    </w:p>
    <w:p>
      <w:r>
        <w:t>2. THE MARKETS FOR DOOR AND SHUTTER MANUFACTURING</w:t>
      </w:r>
    </w:p>
    <w:p>
      <w:r>
        <w:t>25. Regarding the geographical delineation of the door manufacturing markets, decision-making practice has retained a national dimension, due to the specificity of the products intended for the French market.</w:t>
      </w:r>
    </w:p>
    <w:p>
      <w:r>
        <w:t>26. The notifying party considers that this geographical definition of the market applies to the door manufacturing market, relying on the definition of geographical markets related to the window manufacturing market retained by decision-making practice.</w:t>
      </w:r>
    </w:p>
    <w:p>
      <w:r>
        <w:t>27. There is no need to challenge these definitions in the context of the present operation. The competitive analysis will therefore be conducted at the national level.</w:t>
      </w:r>
    </w:p>
    <w:p>
      <w:r>
        <w:t>3. THE MARKETS FOR SHUTTER MANUFACTURING</w:t>
      </w:r>
    </w:p>
    <w:p>
      <w:r>
        <w:t>28. Regarding the geographical delineation of the shutter manufacturing markets, decision-making practice has retained a national dimension by transposing the reasoning developed on the window manufacturing market, namely the existence of notable differences between countries concerning technical regulations, consumer preferences, and climatic conditions.</w:t>
      </w:r>
    </w:p>
    <w:p>
      <w:r>
        <w:t>29. The notifying party considers that this geographical definition of the market applies to the shutter manufacturing market, also relying on the definition of geographical markets related to the window manufacturing market retained by decision-making practice.</w:t>
      </w:r>
    </w:p>
    <w:p>
      <w:r>
        <w:t>30. There is no need to challenge these definitions in the context of the present operation. The competitive analysis will therefore be conducted at the national level.</w:t>
      </w:r>
    </w:p>
    <w:p>
      <w:r>
        <w:t>III. Competitive Analysis</w:t>
      </w:r>
    </w:p>
    <w:p>
      <w:r>
        <w:t>31. In light of the activities of the parties, the competitive analysis will be conducted on the markets for window, door, and shutter manufacturing.</w:t>
      </w:r>
    </w:p>
    <w:p>
      <w:r>
        <w:t>A. ANALYSIS OF HORIZONTAL EFFECTS</w:t>
      </w:r>
    </w:p>
    <w:p>
      <w:r>
        <w:t>1. THE MARKET FOR WINDOW MANUFACTURING</w:t>
      </w:r>
    </w:p>
    <w:p>
      <w:r>
        <w:t>32. It appears from the estimates of the notifying party that, with the exception of the mixed wood-aluminum window segment, in none of the segments of the window manufacturing market will the new entity have a market share exceeding 6%.</w:t>
      </w:r>
    </w:p>
    <w:p>
      <w:r>
        <w:t>33. The market share of the new entity in the mixed wood-aluminum window manufacturing market is [30-40]% in volume ([20-30]% in value), with [0-5]% for the FPEE group in volume ([0-5]% in value) and [20-30]% for the Bouvet group ([20-30]% in value). The new entity will continue, after the operation, to face competition in this segment from a major player such as MC France ([30-40]% in value and [30-40]% in volume) and from companies Pasquet, Bignon, Elva, Atlantem, Lorillard, Bieber, Andre, and Internorm ([0-5]% in volume and value each).</w:t>
      </w:r>
    </w:p>
    <w:p>
      <w:r>
        <w:t>34. Consequently, the operation is not likely to seriously harm competition through horizontal effects in the window manufacturing market.</w:t>
      </w:r>
    </w:p>
    <w:p>
      <w:r>
        <w:t>2. THE MARKET FOR DOOR MANUFACTURING</w:t>
      </w:r>
    </w:p>
    <w:p>
      <w:r>
        <w:t>35. At the national level, according to the estimates provided by the notifying party, the market share of the new entity in the door manufacturing market will be less than 10% regardless of the segmentation considered.</w:t>
      </w:r>
    </w:p>
    <w:p>
      <w:r>
        <w:t>36. Given these limited market shares, the operation is not likely to harm competition through horizontal effects in the door manufacturing market.</w:t>
      </w:r>
    </w:p>
    <w:p>
      <w:r>
        <w:t>3. THE MARKET FOR SHUTTER MANUFACTURING</w:t>
      </w:r>
    </w:p>
    <w:p>
      <w:r>
        <w:t>37. At the national level, according to the estimates provided by the notifying party, the market share of the new entity in the shutter manufacturing market will be less than 8% regardless of the segmentation considered.</w:t>
      </w:r>
    </w:p>
    <w:p>
      <w:r>
        <w:t>38. Given these limited market shares, the operation is not likely to harm competition through horizontal effects in the shutter manufacturing market.</w:t>
      </w:r>
    </w:p>
    <w:p>
      <w:r>
        <w:t>B. ANALYSIS OF CONGLOMERATE EFFECTS</w:t>
      </w:r>
    </w:p>
    <w:p>
      <w:r>
        <w:t>39. A concentration may also lead to conglomerate effects when the new entity extends or strengthens its presence in markets that are related to other markets in which it holds market power. Some conglomerate concentrations can indeed produce restrictive competition effects when they allow the new entity to technically or commercially tie the sales of its products in a way that locks the market and excludes competitors.</w:t>
      </w:r>
    </w:p>
    <w:p>
      <w:r>
        <w:t>40. However, the guidelines of the Competition Authority indicate that it is unlikely that a concentration will pose a risk of conglomerate effect if the new entity does not have a strong position in a market from which it can leverage its power.</w:t>
      </w:r>
    </w:p>
    <w:p>
      <w:r>
        <w:rPr>
          <w:b/>
        </w:rPr>
        <w:t>[Pages 7–8]</w:t>
      </w:r>
    </w:p>
    <w:p>
      <w:r>
        <w:t>and refers, in this regard, to a threshold of 30% market share for the assessment of this position.</w:t>
      </w:r>
    </w:p>
    <w:p>
      <w:r>
        <w:t>41. In this case, considering the activities carried out by the parties, the operation is likely to generate conglomerate effects between each of the markets for the manufacturing of (i) windows, (ii) doors, (iii) shutters, on which both parties are active, and (iv) gates and garden fences, on which only the FPEE group is active.</w:t>
      </w:r>
    </w:p>
    <w:p>
      <w:r>
        <w:t>42. In each of these markets, the market share of the new entity will be below 30% regardless of the segmentation adopted, except for the segment related to the manufacturing of mixed wood-aluminum windows where the market share of the new entity will be [30-40]% in volume. The new entity could therefore theoretically leverage its position in the segment related to the manufacturing of mixed wood-aluminum windows to strengthen its position in the other concerned markets.</w:t>
      </w:r>
    </w:p>
    <w:p>
      <w:r>
        <w:t>43. However, the ability of the new entity to exert such leverage can be dismissed. First of all, the position that the new entity will hold in this segment will essentially result from the activities of the Bouvet group alone and will therefore be very little reinforced by the operation. Moreover, the new entity will face the MC France group, a competitor holding a market share of [30-40]% in volume and [30-40]% in value, which belongs to the Liebot group, a powerful group that has, in the overall window market, a range equivalent to that of the new entity and is capable of replicating any potential conglomerate strategy of the new entity. The new entity will also face other competitors of more modest size.</w:t>
      </w:r>
    </w:p>
    <w:p>
      <w:r>
        <w:t>44. The operation is therefore not likely to harm competition through conglomerate effects.</w:t>
      </w:r>
    </w:p>
    <w:p>
      <w:r>
        <w:t>DECIDES</w:t>
      </w:r>
    </w:p>
    <w:p>
      <w:r>
        <w:t>Sole Article: The operation notified under number 18-279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