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https://www.autoritedelaconcurrence.fr/fr/decision-de-controle-des-concentrations/relative-la-fusion-des-groupes-vache-bleue-group-et-food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24-DCC-245 of November 18, 2024</w:t>
        <w:br/>
        <w:t>regarding the merger of the Vache Bleue Group and Food Investment Company</w:t>
        <w:br/>
        <w:t>The Competition Authority,</w:t>
        <w:br/>
        <w:t>Having regard to the notification file sent to the mergers department on September 27, 2024,</w:t>
        <w:br/>
        <w:t>declared complete on November 5, 2024, concerning the merger of the Vache Bleue Group and Food Investment Company, formalized by an agreement signed on October 9, 2024;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merger, by the creation of a new legal entity, of two Belgian groups, Vache Bleue Group and Food Investment Company, active in France in the sector of processing, packaging, and distribution of cheeses.</w:t>
        <w:br/>
        <w:t>2.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3. In light of the elements of the file, the operation is not likely to harm competition in the relevant markets.</w:t>
      </w:r>
    </w:p>
    <w:p>
      <w:r>
        <w:t>DECIDES</w:t>
        <w:br/>
        <w:t>Sole Article: The operation notified under number 24-215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