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https://www.autoritedelaconcurrence.fr/fr/decision-de-controle-des-concentrations/relative-la-fusion-des-mutuelles-micompreicom-et-mnil</w:t>
      </w:r>
    </w:p>
    <w:p>
      <w:r>
        <w:t>Pages translated : 3</w:t>
      </w:r>
    </w:p>
    <w:p/>
    <w:p>
      <w:r>
        <w:rPr>
          <w:b/>
        </w:rPr>
        <w:t>[Pages 1–3]</w:t>
      </w:r>
    </w:p>
    <w:p>
      <w:r>
        <w:t xml:space="preserve">FRENCH REPUBLIC  </w:t>
        <w:br/>
        <w:t xml:space="preserve">Decision No. 09-DCC-77 of December 23, 2009  </w:t>
        <w:br/>
        <w:t>regarding the merger of the mutual insurance companies MICOM / PREICOM and MNIL</w:t>
      </w:r>
    </w:p>
    <w:p>
      <w:r>
        <w:t xml:space="preserve">The Competition Authority,  </w:t>
        <w:br/>
        <w:t xml:space="preserve">Having regard to the notification file sent to the merger service on October 14, 2009, and declared complete on November 24, 2009, regarding the merger of the mutual insurance companies MICOM / PREICOM and MNIL, formalized by a merger protocol and a merger agreement signed on September 25, 2009;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The National Mutual Insurance Company for Personnel of Industry, Commerce, and Mines (hereinafter "MICOM / PREICOM") and the National Interprofessional Mutual Insurance Company Lafitte (hereinafter "MNIL") are mutual insurance companies governed by the provisions of the Mutual Insurance Code, and in particular its Book II. They are primarily active in the field of coverage for risks related to accidents (including occupational diseases and accidents (branch 1), illness (branch 21), and death (branch 202). MICOM / PREICOM and MNIL achieved a total worldwide turnover excluding taxes in 2008, the last closed financial year, of 95.5 million euros and 57.6 million euros, respectively, exclusively in France, corresponding to the contributions received.  </w:t>
        <w:br/>
        <w:t xml:space="preserve">2. Under the terms of the merger agreement, the mutual insurance companies MICOM / PREICOM and MNIL have committed to transfer, with retroactive effect from January 1, 2009, the entire portfolio of insurance contracts of MNIL, and the corresponding rights and obligations, to MICOM / PREICOM, which will take the name MICOM / MNIL.  </w:t>
        <w:br/>
        <w:t xml:space="preserve">1 See Article R. 211-2 of the Mutual Insurance Code.  </w:t>
        <w:br/>
        <w:t>2 See the aforementioned article.</w:t>
      </w:r>
    </w:p>
    <w:p>
      <w:r>
        <w:t>3. As it results in the merger of the two previously independent mutual insurance companies MICOM / PREICOM and MNIL, the notified operation constitutes a concentration within the meaning of Article L. 430-1 of the Commercial Code. Given the turnover of the companies involved, this operation does not have a Community dimension. However, the thresholds mentioned in I of Article L. 430-2 of the Commercial Code are exceeded. Therefore, the present operation is subject to the provisions of Articles L. 430-3 and following of the Commercial Code relating to economic concentration.</w:t>
      </w:r>
    </w:p>
    <w:p>
      <w:r>
        <w:t xml:space="preserve">II. Definition of Relevant Markets  </w:t>
        <w:br/>
        <w:t xml:space="preserve">4. The mutual insurance companies MICOM / PREICOM and MNIL are simultaneously present in the markets for personal insurance products.  </w:t>
        <w:br/>
        <w:t xml:space="preserve">5. In these markets, a segmentation is carried out by decision-making practice, both at the Community and national levels, between collective insurance contracts, concluded between an insurer and a subscriber distinct from the beneficiary, and individual insurance contracts for which the subscriber is also the beneficiary.  </w:t>
        <w:br/>
        <w:t xml:space="preserve">6. In this case, the parties are simultaneously active in the markets for individual and collective complementary health insurance as well as in the individual and collective provident insurance markets, whose products are distributed directly or through brokers.  </w:t>
        <w:br/>
        <w:t xml:space="preserve">7. Furthermore, MNIL is also present, albeit marginally, in the funeral insurance market. However, the present operation does not result in any overlap of activity in this market, as MICOM / PREICOM is not active in this market.  </w:t>
        <w:br/>
        <w:t xml:space="preserve">8. The market power of the players regarding insurance products is analyzed by decision-making practice at the national level.  </w:t>
        <w:br/>
        <w:t>9. There is no need to challenge these delimitations during the examination of the present operation.</w:t>
      </w:r>
    </w:p>
    <w:p>
      <w:r>
        <w:t xml:space="preserve">III. Competitive Analysis  </w:t>
        <w:br/>
        <w:t xml:space="preserve">10. Competition in the relevant markets operates in a highly fragmented market: the competitors of the new entity in the personal insurance markets were, in 2008, the 349 other mutual insurance companies, as well as provident institutions and insurance companies. The operation allows the new entity to reach the 18th rank among mutual insurance companies alone. Overall, in each of the relevant markets (individual complementary health, collective and individual and collective provident insurance) as a result of the present operation, the market share of the new entity will be well below 1%.  </w:t>
        <w:br/>
        <w:t>11. Therefore, the operation is not likely to harm competition in the various relevant markets.</w:t>
      </w:r>
    </w:p>
    <w:p>
      <w:r>
        <w:t xml:space="preserve">DECIDES  </w:t>
        <w:br/>
        <w:t xml:space="preserve">Sole Article: The operation notified under number 09-0098 is authorized.  </w:t>
        <w:br/>
        <w:t xml:space="preserve">The Vice-President,  </w:t>
        <w:br/>
        <w:t xml:space="preserve">Françoise Aubert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