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https://www.autoritedelaconcurrence.fr/fr/decision-de-controle-des-concentrations/relative-la-fusion-des-societes-relia-et-kddi-evolva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23-DCC-53 of March 17, 2023  </w:t>
        <w:br/>
        <w:t xml:space="preserve">regarding the merger of the companies Relia and KDDI Evolva  </w:t>
        <w:br/>
        <w:t xml:space="preserve">The Competition Authority,  </w:t>
        <w:br/>
        <w:t xml:space="preserve">Having regard to the complete notification file submitted to the mergers department on February 27, 2023,  </w:t>
        <w:br/>
        <w:t xml:space="preserve">concerning the merger between the companies Relia and KDDI Evolva, following the exclusive control  </w:t>
        <w:br/>
        <w:t xml:space="preserve">acquisition of Relia by the company Mitsui &amp; Co., formalized by the transactional agreement of  </w:t>
        <w:br/>
        <w:t xml:space="preserve">January 13,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merger of the companies Relia and KDDI Evolva, controlled  </w:t>
        <w:br/>
        <w:t xml:space="preserve">respectively by Mitsui &amp; Co. and KDDI, following the acquisition of control of Relia by  </w:t>
        <w:br/>
        <w:t xml:space="preserve">Mitsui. In France, KDDI is primarily active in the markets for telecommunications services for professionals, while Mitsui &amp; Co. is notably active in energy and in the sectors of marketing of phytosanitary and chemical products,  </w:t>
        <w:br/>
        <w:t xml:space="preserve">and agricultural equipment. The operation constitutes a concentration operation within the meaning of  </w:t>
        <w:br/>
        <w:t xml:space="preserve">Article L. 430-1 of the Commercial Code. Given the revenues generated by the  </w:t>
        <w:br/>
        <w:t xml:space="preserve">concerned companies, the operation does not fall under the jurisdiction of the European Union. However, the control thresholds of Article L. 430-2 of the Commercial Code are exceeded. The  </w:t>
        <w:br/>
        <w:t xml:space="preserve">present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23-006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