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https://www.autoritedelaconcurrence.fr/fr/decision-de-controle-des-concentrations/relative-la-fusion-des-unions-mutualistes-de-groupe-groupe</w:t>
      </w:r>
    </w:p>
    <w:p>
      <w:r>
        <w:t>Pages translated : 7</w:t>
      </w:r>
    </w:p>
    <w:p/>
    <w:p>
      <w:r>
        <w:rPr>
          <w:b/>
        </w:rPr>
        <w:t>[Pages 1–3]</w:t>
      </w:r>
    </w:p>
    <w:p>
      <w:r>
        <w:t xml:space="preserve">FRENCH REPUBLIC  </w:t>
        <w:br/>
        <w:t xml:space="preserve">Decision No. 17-DCC-104 of July 5, 2017  </w:t>
        <w:br/>
        <w:t xml:space="preserve">regarding the merger of the Mutualist Group Unions Groupe Istya and Groupe Harmonie  </w:t>
        <w:br/>
        <w:t xml:space="preserve">The Competition Authority,  </w:t>
        <w:br/>
        <w:t xml:space="preserve">Having regard to the notification file submitted in full to the concentrations service on May 19, 2017,  </w:t>
        <w:br/>
        <w:t xml:space="preserve">regarding the merger by absorption of the Mutualist Group Unions "UMG Groupe Harmonie" and "UMG Groupe Istya" within the Mutualist Group Union "UMG Mgen-Istya-Harmonie," approved during the general assemblies of the mutuals participating in the operation on June 28, 2016, and July 6, 2016, formalized by the draft statutes of the Mutualist Group Union "Groupe MGEN-Istya-Harmonie" and the affiliation agreement to the Mutualist Group Union "Groupe MGEN-Istya-Harmonie";  </w:t>
        <w:br/>
        <w:t xml:space="preserve">Having regard to Book IV of the Commercial Code relating to price freedom and competition, and in particular its Articles L. 430-1 to L. 430-7;  </w:t>
        <w:br/>
        <w:t xml:space="preserve">Having regard to the supplementary elements submitted by the parties during the investigation;  </w:t>
        <w:br/>
        <w:t xml:space="preserve">Adopts the following decision:  </w:t>
        <w:br/>
        <w:t xml:space="preserve">I. The companies concerned and the operation  </w:t>
        <w:br/>
        <w:t xml:space="preserve">1. The UMG Groupe Istya (hereinafter "UMG Istya"), a mutualist group union subject to the provisions of Book II of the Mutuality Code, is composed of the MGEN group, the National Territorial Mutual (hereinafter "MNT") and the General Mutual of Economy, Finance and Industry (hereinafter "MGEFI"). Considering, in particular, the financial solidarity links established between the UMG and its affiliated members, the combination of their accounts, as well as the unique and sustainable economic management power it possesses, the UMG Istya constitutes a single economic entity, exclusively controlled by the MGEN group. The UMG Istya primarily operates in the fields of supplementary health insurance, provident insurance, borrower insurance, funeral insurance, and retirement savings insurance.  </w:t>
        <w:br/>
        <w:t xml:space="preserve">2. The UMG Groupe Harmonie (hereinafter "UMG Harmonie"), a mutualist group union subject to the provisions of Book II of the Mutuality Code, is composed of three mutuals: Harmonie Mutuelle, Harmonie Fonction Publique, and Mutuelle Mare-Gaillard. Considering, in particular, the financial solidarity links established between the UMG and its affiliated members, the combination of their accounts, as well as the unique and sustainable economic management power it possesses, the UMG Groupe Harmonie constitutes a single economic entity, exclusively controlled by Harmonie Mutuelle. The UMG Groupe Harmonie primarily operates in the fields of supplementary health insurance, provident insurance, and retirement savings insurance.  </w:t>
        <w:br/>
        <w:t xml:space="preserve">3. According to the terms of the draft merger treaty, the operation consists of the merger by absorption of the UMG Groupe Harmonie by the UMG Groupe Istya within a new UMG named UMG Groupe MGEN-Istya-Harmonie, to which the mutuals concerned by the affiliation agreement will adhere: Harmonie Mutuelle, Harmonie Fonction Publique, Mutuelle Mare-Gaillard, MGEN, MGEN Vie, MGEN Filia, MNT, and MGEFI.  </w:t>
        <w:br/>
        <w:t xml:space="preserve">4. The UMG Groupe MGEN-Istya-Harmonie will aim, in particular, to (i) "define, in consultation with the affiliated members, the policy and strategic orientations necessary for its development and that of its affiliated members," (ii) "reconcile the actions and initiatives of its members," (iii) "define and implement a centralized governance system," including in particular the functions of risk management, internal audit, compliance verification, and actuarial functions," (iv) "effectively exercise a dominant influence through centralized coordination on the decisions, including financial decisions, of its affiliated members, as well as a power of control and sanction over them." It will develop any action likely to contribute to the improvement of the offer and services provided and will organize the means and resources necessary for their implementation. Mechanisms of financial solidarity as well as the combination of social accounts and prudential balances of the group will also be provided. The UMG MGEN-Istya-Harmonie will thus have an establishment fund to constitute the resources enabling it to make the necessary investments as well as a solidarity fund to contribute to the financing of financial solidarity among members in accordance with legal and regulatory obligations.  </w:t>
        <w:br/>
        <w:t xml:space="preserve">5. Considering their respective contributions to the establishment fund, MGEN and Harmonie will each have [...] delegates out of a total of 146, representing [...]% of the votes each. MNT will have [...] delegates ([...]% of the votes), MGEFI will have [...] delegates ([...]% of the votes), Harmonie Fonction Publique will have [...] delegates ([...]% of the votes), and Mare-Gaillard will have [...] delegates ([...]% of the votes). None of the members of the UMG MGEN-Istya-Harmonie will therefore have a majority of the votes alone within the general assembly.  </w:t>
        <w:br/>
        <w:t xml:space="preserve">6. The general assembly will elect, by simple majority, the members of the board of directors, taking into account the participation of affiliates in the establishment fund. The board of directors will make, by simple majority, all necessary decisions for the management and development of UMG MGEN-Istya-Harmonie and will ensure their implementation. It will have the powers to approve, prior to their appointment, the appointment of the operational manager and the effective executive directors as well as the heads of key functions of each affiliated member designated by its board of directors at the proposal of its president.  </w:t>
        <w:br/>
        <w:t xml:space="preserve">7. Considering all these elements, the establishment of the UMG MGEN-Istya-Harmonie is analyzed as a de facto merger in that it consists of the joining of activities of previously independent companies within a single economic entity, endowed with a unique and sustainable economic management power. Consequently, the operation constitutes a concentration within the meaning of Article L. 430-1 of the Commercial Code.  </w:t>
        <w:br/>
        <w:t xml:space="preserve">8. The companies concerned have together achieved a consolidated turnover excluding taxes on a global scale of more than 150 million euros (Groupe Istya: [...] euros for the fiscal year ending December 31, 2015; Groupe Harmonie: [...] euros for the same fiscal year). Each of these companies has achieved, in France, a turnover exceeding 50 million euros (Groupe Istya: [...] euros for the same fiscal year; Groupe Harmonie: [...] euros for the same fiscal year). Given these turnover figures, the thresholds set out in Article 1, paragraph 2, a) and b) of Council Regulation (EC) No. 139/2004 of January 20, 2004, are met. Nevertheless, since the Istya and Harmonie groups each generate more than two-thirds of their turnover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9. The parties to the operation are simultaneously active in the upstream markets of insurance products, in the markets for the distribution of insurance products on behalf of third parties, in the reinsurance market, and in the markets for health and social services.  </w:t>
        <w:br/>
        <w:t xml:space="preserve">A. THE UPSTREAM MARKETS OF INSURANCE PRODUCTS  </w:t>
        <w:br/>
        <w:t xml:space="preserve">10. The decisional practice distinguishes, consistently, the markets of personal insurance, property and liability insurance, and reinsurance.  </w:t>
        <w:br/>
        <w:t>11 See in particular the decisions of the European Commission COMP/M.5083 - Groupama / OTP Garancia of April 15, 2008, COMP/M.3556 - Fortis / BCP of January 19, 2005, as well as the decisions of the Competition Authority No. 13-DCC-84 of July 4, 2013, regarding the affiliation of the interprofessional mutual SMI to the mutual insurance group Covéa, No. 11-DCC-97 of June 29, 2011, regarding the affiliation of the provident institution Apgis to the mutual insurance group Covéa, and No. 10-DCC-52 of June 2, 2010, regarding the creation of a Mutual Insurance Group Company ("SGAM") by MACIF, MAIF, and MATMUT.</w:t>
      </w:r>
    </w:p>
    <w:p>
      <w:r>
        <w:rPr>
          <w:b/>
        </w:rPr>
        <w:t>[Pages 4–6]</w:t>
      </w:r>
    </w:p>
    <w:p>
      <w:r>
        <w:t xml:space="preserve">11. With regard to the first two categories of products, the competition authorities have estimated that they can be segmented into as many markets as there are insurances covering different types of risks, insofar as, from the demand perspective, insurances covering these different risks are not substitutable.  </w:t>
        <w:br/>
        <w:t xml:space="preserve">12. In the case at hand, the UMG Groupe Istya and Groupe Harmonie are both active in the personal insurance sector, and more specifically, in the markets for supplementary health insurance, provident insurance, dependency, death, and funeral insurance.  </w:t>
        <w:br/>
        <w:t xml:space="preserve">13. Concerning the personal insurance market, an additional segmentation can be made between group insurance contracts, concluded between an insurer and a distinct subscriber from the beneficiary, and individual insurance contracts where the subscriber is also the beneficiary.  </w:t>
        <w:br/>
        <w:t xml:space="preserve">14. As for the geographical delimitation of the markets, with the exception of certain insurances covering large-scale risks, the insurance product markets have been considered to be of national dimension given consumer preferences, the existence of national legislation and tax constraints, the current structure of these markets, and the regulatory systems concerning this sector of activity.  </w:t>
        <w:br/>
        <w:t xml:space="preserve">15. There is no need to call into question these delimitations in the context of the present operation.  </w:t>
        <w:br/>
        <w:t xml:space="preserve">B. THE MARKETS FOR THE DISTRIBUTION OF INSURANCE PRODUCTS ON BEHALF OF THIRD PARTIES  </w:t>
        <w:br/>
        <w:t xml:space="preserve">16. The distribution of insurance products consists of marketing and ensuring the administrative management of the guarantees or insurance contracts whose risk is borne by third-party insurers. The competition authorities, both European and national, have left the question of the precise delimitation of the markets in this sector open, with several segmentations being considered.  </w:t>
        <w:br/>
        <w:t xml:space="preserve">17. A broad market for the distribution of insurance products by independent intermediaries, including all distribution channels (agents, brokers, and other intermediaries such as banks), with the exception of direct distribution by insurance companies, has thus been identified by decision-making practice. A market limited to insurance brokerage and including only this distribution channel has also been considered.  </w:t>
        <w:br/>
        <w:t xml:space="preserve">18. The markets for the distribution of insurance products can also be segmented based on the category of insured risks (property insurance and personal insurance) and according to the clientele (businesses or individuals).  </w:t>
        <w:br/>
        <w:t xml:space="preserve">19. In the case at hand, the parties to the operation are simultaneously active in the markets for the distribution on behalf of third parties of dependency insurance, assistance, borrower insurance, retirement savings, provident insurance, and funeral insurance.  </w:t>
        <w:br/>
        <w:t xml:space="preserve">20. Regarding their geographical delimitations, the markets for the distribution of insurance products on behalf of third parties have been considered essentially to be of national dimension.  </w:t>
        <w:br/>
        <w:t xml:space="preserve">21. The question of the exact delimitation of the markets for the distribution of insurance products will be left open insofar as, regardless of the delimitation retained, the conclusions of the competitive analysis remain unchanged.  </w:t>
        <w:br/>
        <w:t xml:space="preserve">C. THE REINSURANCE MARKET  </w:t>
        <w:br/>
        <w:t xml:space="preserve">22. Decision-making practice defines reinsurance as a particular form of insurance whereby the reinsurer takes on all or part of the risks insured by the primary insurer. This mechanism allows primary insurers to increase the number of insureds and to spread risks over time and across a broader geographical area. The European Commission further considers that reinsurance constitutes a distinct market due to the specificity of its object (the distribution of risks among insurers) and the less stringent regulatory constraints on this activity. Finally, property reinsurance has been distinguished from personal reinsurance, and for each, potential additional segmentations may be considered based on the different categories of risks covered.  </w:t>
        <w:br/>
        <w:t xml:space="preserve">23. It follows from decision-making practice that the reinsurance market is of global dimension, particularly given the distribution of risks at this level.  </w:t>
        <w:br/>
        <w:t xml:space="preserve">24. In the case at hand, the parties are simultaneously active in these markets.  </w:t>
        <w:br/>
        <w:t xml:space="preserve">25. However, the question of the exact definition of the reinsurance markets can be left open, as it has no impact on the competitive analysis.  </w:t>
        <w:br/>
        <w:t xml:space="preserve">D. OTHER MARKETS FOR SERVICES UNDER THE HEALTH AND SOCIAL ACTION OF MUTUALS  </w:t>
        <w:br/>
        <w:t xml:space="preserve">26. The unions of mutuals, governed by Book III of the mutuality code, controlled by the notifying parties, are simultaneously active in the following health and social actions: services provided by dental surgeons, those provided by opticians, long-term accommodation services for the elderly, rehabilitation and follow-up care centers, home nursing care, and healthcare services in health establishments.  </w:t>
        <w:br/>
        <w:t xml:space="preserve">27. Decision-making practice considers that, in general, the dimension of the service markets related to health and social achievements managed by entities governed by Book III of the mutuality code is local, at most departmental.  </w:t>
        <w:br/>
        <w:t xml:space="preserve">28. In this case, the parties to the operation are simultaneously active in the market for dental surgeon services in the Rhône department (69).  </w:t>
        <w:br/>
        <w:t xml:space="preserve">29. However, the question of the delimitation of these markets may remain open, with the conclusions of the competitive analysis remaining unchanged, regardless of the delimitations retained.  </w:t>
        <w:br/>
        <w:t xml:space="preserve">III. Competitive Analysis  </w:t>
        <w:br/>
        <w:t xml:space="preserve">1. ON THE UPSTREAM MARKETS FOR INSURANCE PRODUCTS  </w:t>
        <w:br/>
        <w:t xml:space="preserve">30. In the personal insurance markets, the parties estimate that the market share of the new entity will be less than 20%, regardless of the segmentation retained. The new entity will continue to face competitive pressure from several players, particularly from AG2R-La Mondiale, Groupama Gan, Axa France, Crédit Agricole, and Malakoff-Médéric.  </w:t>
        <w:br/>
        <w:t xml:space="preserve">31. Therefore, the operation is not likely to harm competition in the various upstream markets for insurance products.  </w:t>
        <w:br/>
        <w:t xml:space="preserve">2. ON THE MARKETS FOR THE DISTRIBUTION OF INSURANCE PRODUCTS ON BEHALF OF THIRD PARTIES  </w:t>
        <w:br/>
        <w:t>32. The distribution of insurance products on behalf of third parties represents a marginal part of the activity of the mutuals concerned by the operation. The companies involved recorded a turnover for this activity of approximately […] euros in 2016, which represents less than [0-5]% of the national market. In any case, regardless of the segmentation retained for the insurance products managed or distributed on behalf of third parties, the market share of the new entity will be less than 1%.</w:t>
      </w:r>
    </w:p>
    <w:p>
      <w:r>
        <w:rPr>
          <w:b/>
        </w:rPr>
        <w:t>[Pages 7–7]</w:t>
      </w:r>
    </w:p>
    <w:p>
      <w:r>
        <w:t>33. Consequently, the operation is not likely to harm competition in the markets for the distribution of insurance products on behalf of third parties.</w:t>
      </w:r>
    </w:p>
    <w:p>
      <w:r>
        <w:t xml:space="preserve">3. ON THE REINSURANCE MARKET  </w:t>
        <w:br/>
        <w:t>34. Reinsurance represents a marginal part of the activity of the mutuals involved in the operation. The companies concerned recorded a turnover of approximately […] euros for this activity in 2016, which represents less than [0-5]% of the global market. In any case, regardless of the segmentation chosen, the market share of the new entity will be less than 1%.</w:t>
      </w:r>
    </w:p>
    <w:p>
      <w:r>
        <w:t>35. Consequently, the operation is not likely to harm competition in the reinsurance market.</w:t>
      </w:r>
    </w:p>
    <w:p>
      <w:r>
        <w:t xml:space="preserve">4. ON THE MARKET FOR DENTAL SURGEON SERVICES  </w:t>
        <w:br/>
        <w:t>36. In Rhône, the parties to the operation each operate a dental practice in the city of Lyon, which generated a turnover in 2016 of […] euros for UMG Istya and […] euros for UMG Harmonie, respectively. They estimated their combined market share to be less than 1.5% in terms of the number of practitioners in the city of Lyon as well as in the Rhône department ([…] practitioners for the new entity out of a total of 539 in Lyon and […] out of 1,329 in the Rhône department).</w:t>
      </w:r>
    </w:p>
    <w:p>
      <w:r>
        <w:t>37. Consequently, the operation is not likely to harm competition in the market for dental surgeon services.</w:t>
      </w:r>
    </w:p>
    <w:p>
      <w:r>
        <w:t xml:space="preserve">DECIDES  </w:t>
        <w:br/>
        <w:t xml:space="preserve">Single Article: The operation notified under number 16-104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