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https://www.autoritedelaconcurrence.fr/fr/decision-de-controle-des-concentrations/relative-la-fusion-du-groupe-aesio-et-du-groupe-macif</w:t>
      </w:r>
    </w:p>
    <w:p>
      <w:r>
        <w:t>Pages translated : 2</w:t>
      </w:r>
    </w:p>
    <w:p/>
    <w:p>
      <w:r>
        <w:rPr>
          <w:b/>
        </w:rPr>
        <w:t>[Pages 1–2]</w:t>
      </w:r>
    </w:p>
    <w:p>
      <w:r>
        <w:t xml:space="preserve">FRENCH REPUBLIC  </w:t>
        <w:br/>
        <w:t xml:space="preserve">Decision No. 20-DCC-43 of March 13, 2020  </w:t>
        <w:br/>
        <w:t xml:space="preserve">regarding the merger of the Aésio group and the Macif group  </w:t>
        <w:br/>
        <w:t xml:space="preserve">The Competition Authority,  </w:t>
        <w:br/>
        <w:t xml:space="preserve">Having regard to the complete notification file sent to the mergers department on February 7, 2020,  </w:t>
        <w:br/>
        <w:t xml:space="preserve">concerning the merger of the Aésio group and the Macif group, formalized by a founding agreement dated February 3, 2020;  </w:t>
        <w:br/>
        <w:t xml:space="preserve">Having regard to Book IV of the Commercial Code relating to the freedom of prices and competition, and in particular its Articles L. 430-1 to L. 430-7;  </w:t>
        <w:br/>
        <w:t xml:space="preserve">Having regard to the additional elements provided by the parties during the investigation;  </w:t>
        <w:br/>
        <w:t xml:space="preserve">Adopts the following decision:  </w:t>
        <w:br/>
        <w:t xml:space="preserve">1. The notified operation consists of the de facto merger between the Aésio group and the Macif group. It constitutes a concentration within the meaning of Article L. 430-1 of the Commercial Code. Considering the turnover achieved by the concerned companies, the notification thresholds of Article 1 paragraph 2 of Regulation (EC) 139/2004 are exceeded, but since each of the concerned companies generates more than two-thirds of its turnover within the Union in France,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2. The markets concerned by the operation are those of insurance, real estate services, distribution of banking products, and services under the health and social action of mutuals, which are consistently defined by the decision-making practice of the Competition Authority.  </w:t>
        <w:br/>
        <w:t xml:space="preserve">3. Regardless of the segmentations retained, the combined market shares of the parties are below 25%.  </w:t>
        <w:br/>
        <w:t>4. Considering the elements of the file and in particular point 384 of the guidelines of the Competition Authority regarding the control of concentrations, the operation is not likely to harm competition.</w:t>
      </w:r>
    </w:p>
    <w:p>
      <w:r>
        <w:t xml:space="preserve">DECIDES  </w:t>
        <w:br/>
        <w:t xml:space="preserve">Sole Article: The operation notified under number 19-340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