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https://www.autoritedelaconcurrence.fr/fr/decision-de-controle-des-concentrations/relative-la-fusion-du-groupe-ag2r-la-mondiale-et-de-la</w:t>
      </w:r>
    </w:p>
    <w:p>
      <w:r>
        <w:t>Pages translated : 5</w:t>
      </w:r>
    </w:p>
    <w:p/>
    <w:p>
      <w:r>
        <w:rPr>
          <w:b/>
        </w:rPr>
        <w:t>[Pages 1–3]</w:t>
      </w:r>
    </w:p>
    <w:p>
      <w:r>
        <w:t>FRENCH REPUBLIC</w:t>
        <w:br/>
        <w:t>Decision No. 14-DCC-149 of October 13, 2014</w:t>
        <w:br/>
        <w:t>regarding the merger of the AG2R La Mondiale group and the mutual</w:t>
        <w:br/>
        <w:t>ViaSanté</w:t>
        <w:br/>
        <w:t>The Competition Authority,</w:t>
        <w:br/>
        <w:t>Having regard to the notification file submitted in full to the concentrations service on September 8, 2014, regarding the merger of the AG2R La Mondiale group and the mutual ViaSanté, formalized by a protocol of agreement dated December 16, 2013, and by nine merger treaties signed on June 30, 2014;</w:t>
        <w:br/>
        <w:t>Having regard to Book IV of the Commercial Code relating to price freedom and competition, and in particular its Articles L. 430-1 to L. 430-7;</w:t>
        <w:br/>
        <w:t>Having regard to the supplementary elements provided by the parties during the investigation;</w:t>
        <w:br/>
        <w:t>Adopts the following decision:</w:t>
        <w:br/>
        <w:t>I. The concerned companies and the operation</w:t>
        <w:br/>
        <w:t>1. AG2R La Mondiale, a parity social protection group, has as its governing body the AG2R La Mondiale summit association whose role is to safeguard the interests of complementary retirement schemes and to determine the political and strategic orientations of the group. It is composed equally of representatives from trade union organizations and representatives from employer federations. The group consists of a holding insurance company, La Mondiale Participations, the SGAM AG2R La Mondiale, the AG2R Prévoyance, Isica Prévoyance, and INPCA provident institutions, two Economic Interest Groups AG2R and La Mondiale Groupe, as well as a union of mutuals.</w:t>
        <w:br/>
        <w:t>1 Parity social protection groups (“GPPS”) are structured sets of legal entities that have close and lasting ties with each other, created in connection with employer organizations and trade unions (the “social partners”). A GPPS includes at least one AGIRC retirement institution, one ARRCO retirement institution, and one provident institution, in the interest of businesses and employees (the “one-stop shop” formula). It may also consist of mutuals. It is constituted by a summit association “law 1901” which is managed equally and conducts the overall strategy of the GPPS. One or more associations of human, material, and IT resources, most often taking the form of Economic Interest Groups, allow these groups to implement their competitive and non-competitive activities. See in this regard the decisions of the Competition Authority No. 11-DCC-215 of December 29, 2011, regarding the merger of the Humanis group and the Novalis Taitbout group, and No. 12-DCC-93 of June 29, 2012, regarding the merger of the Mornay Group, the D&amp;O Group, and the Interdepartmental Mutualist Federation of the Paris Region.</w:t>
      </w:r>
    </w:p>
    <w:p>
      <w:r>
        <w:t>the Association Générale des Mutuelles or AG.Mut. La Mondiale holds 65% of the capital of the company La Mondiale Participations, which holds 100% of the companies La Mondiale Partenaires, La Mondiale Europartner, La Mondiale Europa, and 50% of the capital of the company Arial Assurance. La Mondiale Participations is 35% owned by Aegon International BV, a Dutch law company active in the insurance sector in the Netherlands and Germany, listed on the Euronext and New York Stock Exchange.</w:t>
        <w:br/>
        <w:t>2. ViaSanté is a private law non-profit legal entity under Book II of the mutual insurance code. It directly or indirectly conducts insurance operations for the benefit of its members and their beneficiaries with the aim of covering the risks of bodily injury related to accidents or illness (branches 1 and 2) and paying allowances and premiums related to birth, marriage, and death (branches 20 and 21).</w:t>
        <w:br/>
        <w:t>3. Under the protocol of agreement signed on December 16, 2013, ViaSanté will join the summit association of AG2R La Mondiale, indirectly through its membership in the union of mutuals AG.Mut, members of the summit association AG2R La Mondiale. A common management will also be established, with the general director of AG2R La Mondiale also taking on the role of general delegate of ViaSanté starting January 1, 2015. ViaSanté will also enter the scope of combination of the SGAM AG2R La Mondiale. Reinsurance treaties between AG2R La Mondiale and ViaSanté signed in July 2014 will allow for significant and lasting reinsurance links between the parties to the operation. Finally, ViaSanté will absorb the mutuals integrated prior to the operation into the accounting perimeter of AG2R La Mondiale, namely Primamut, Mutuelle Nationale des Métiers, Mutisica, Toulouse Mutualité, Force Sud, and Mutuelle de Bergerac, as well as the mutual of the Somme, a member of the Union ViaSanté Horizons. Thus, ViaSanté will become the entity bearing the risk of the new health insurance products of the AG2R La Mondiale group.</w:t>
        <w:br/>
        <w:t>4. In light of these elements, and in accordance with decision-making practice, the merger of the AG2R La Mondiale group and the mutual ViaSanté is analyzed as a merger of previously independent entities. The notified operation therefore constitutes a concentration within the meaning of Article L. 430-1 of the Commercial Code.</w:t>
        <w:br/>
        <w:t>5. The concerned companies together generate a total worldwide turnover of more than 150 million euros (AG2R La Mondiale: […] euros for the fiscal year ending December 31, 2013; ViaSanté: […] euros for the same fiscal year). Each generates, in France, a turnover exceeding 50 million euros (AG2R La Mondiale: […] euros for the fiscal year ending December 31, 2013; ViaSanté: […] euros for the same fiscal year). Given these turnover figures, the operation does not have a community dimension. However, the control thresholds mentioned in I of Article L. 430-2 of the Commercial Code are exceeded. The present operation is therefore subject to the provisions of Articles L. 430-3 and following of the Commercial Code relating to economic concentration.</w:t>
        <w:br/>
        <w:t>2 See the decision of the Competition Authority No. 11-DCC-127 of August 17, 2011, regarding the merger by absorption of the mutuals ViaSanté (absorbing mutual), ViaSanté MC 15, ViaSanté Périgord Mutualité, ViaSanté La Roussillonnaise, ViaSanté Mutuelle de l’Aude, MUTAL, Union fraternelle Vallourec, Solidarité Millavoise, Mutual of Firefighters of the Community of Agglomeration of Grand Rodez.</w:t>
        <w:br/>
        <w:t>3 These mutuals are Primamut, Mutuelle Nationale des Métiers, Mutisica, Toulouse Mutualité, Force Sud, and Mutuelle de Bergerac. This last operation will, however, occur within the new entity resulting from the merger. It is therefore not a concentration in this case.</w:t>
        <w:br/>
        <w:t>4 ViaSanté will also integrate the mutuals Stora Enso Corbehem and MLB, also governed by Book II of the mutual insurance code.</w:t>
        <w:br/>
        <w:t>5 See the decisions of the minister C2007-49 / Letter from the Minister of Economy, Finance and Employment of August 21, 2007, to the councils of the AG2R Prévoyance provident institute and the company La Mondiale, regarding a concentration in the health and retirement insurance sector and the decision of the Competition Authority No. 13-DCC-171 of November 20, 2013, regarding the exclusive control by the Klésia group of a portfolio of insurance contracts and No. 12-DCC-93 mentioned above.</w:t>
        <w:br/>
        <w:t>* Correction of material error.</w:t>
      </w:r>
    </w:p>
    <w:p>
      <w:r>
        <w:t>II. Delimitation of Relevant Markets</w:t>
        <w:br/>
        <w:t>6. National and Community competition authorities distinguish between the markets for personal insurance, property insurance, and reinsurance. Regarding the first two categories of products, competition authorities have determined that they can be segmented into as many markets as there are insurances covering different types of risks, insofar as, from the demand perspective, insurances covering these different risks are not substitutable.</w:t>
        <w:br/>
        <w:t>7. The parties to the transaction are simultaneously present in the individual and group personal insurance product markets. Only ViaSanté marginally distributes insurance products on behalf of third parties.</w:t>
        <w:br/>
        <w:t>A. THE MARKETS FOR PERSONAL INSURANCE PRODUCTS</w:t>
        <w:br/>
        <w:t>8. In the personal insurance market, an additional segmentation is made between collective insurance contracts, concluded between an insurer and a subscriber distinct from the beneficiary, and individual insurance contracts for which the subscriber is also the beneficiary.</w:t>
        <w:br/>
        <w:t>9. In this case, the parties are simultaneously active in the individual and group complementary health insurance markets.</w:t>
        <w:br/>
        <w:t>10. In any event, the exact definition of each of the markets examined in this decision can be left open, as the conclusions of the competitive analysis will remain unchanged regardless of the segmentations retained.</w:t>
        <w:br/>
        <w:t>11. Regarding the geographical delimitation of the markets, with the exception of certain insurances covering large-scale risks, the markets for insurance products have been considered as being of national dimension given consumer preferences, the existence of national legislation and tax constraints, the current structure of these markets, or the regulatory systems.</w:t>
        <w:br/>
        <w:t>12. There is no need to challenge these delimitations in the context of the present operation.</w:t>
        <w:br/>
        <w:t>B. THE MARKETS FOR THE DISTRIBUTION OF INSURANCE PRODUCTS ON BEHALF OF THIRD PARTIES</w:t>
        <w:br/>
        <w:t>13. The distribution of insurance products consists of marketing and ensuring the administrative management of guarantees or insurance contracts whose risk is borne by third-party insurers. Several segmentations have, however, been considered even if the precise delimitation of these markets has been left open by the competition authorities.</w:t>
      </w:r>
    </w:p>
    <w:p>
      <w:r>
        <w:rPr>
          <w:b/>
        </w:rPr>
        <w:t>[Pages 4–5]</w:t>
      </w:r>
    </w:p>
    <w:p>
      <w:r>
        <w:t>14. A broad market for the distribution of insurance products by independent intermediaries, including all distribution channels (agents, brokers, and other intermediaries) with the exception of direct distribution by insurance companies, has thus been identified. A market limited to insurance brokerage and including only this distribution channel has also been considered. Finally, additional segmentations have been made according to the category of insured risks (property insurance and personal insurance) and according to the clientele (businesses or individuals).</w:t>
      </w:r>
    </w:p>
    <w:p>
      <w:r>
        <w:t>15. Regarding their geographical boundaries, the markets for the distribution of insurance products have been considered essentially as being of national dimension.</w:t>
      </w:r>
    </w:p>
    <w:p>
      <w:r>
        <w:t>16. There is no reason to challenge these delimitations in the context of the present transaction.</w:t>
      </w:r>
    </w:p>
    <w:p>
      <w:r>
        <w:t>17. However, in this case, only Viasanté has entered into distribution partnerships for individual and group provident and retirement savings contracts, notably with Mutex and UNMI. In this market, the new entity will hold a market share of less than 1%. The risks of harm to competition can therefore be ruled out in this market, which will not be examined further.</w:t>
      </w:r>
    </w:p>
    <w:p>
      <w:r>
        <w:t>III. Competitive Analysis</w:t>
      </w:r>
    </w:p>
    <w:p>
      <w:r>
        <w:t>18. The notifying party has provided an estimate of the size of the individual and group complementary health insurance markets in 2012 based on data from the Argus de l’assurance, which estimates the total market for individual health insurance at 14 billion euros and for group health insurance at 11 billion euros in 2012.</w:t>
      </w:r>
    </w:p>
    <w:p>
      <w:r>
        <w:t>19. Based on its revenues generated in 2013, the new entity has estimated its market share at [0-5]% in the individual complementary health insurance market and at [5-10]% in the group complementary health insurance market. Furthermore, the transaction will lead to a low increment in market share as ViaSanté holds [0-5]% in the individual complementary health insurance market and less than [0-5]% in the group complementary health insurance market.</w:t>
      </w:r>
    </w:p>
    <w:p>
      <w:r>
        <w:t>20. Consequently, the transaction is not likely to harm competition in the various relevant markets.</w:t>
      </w:r>
    </w:p>
    <w:p>
      <w:r>
        <w:t>DECIDES</w:t>
      </w:r>
    </w:p>
    <w:p>
      <w:r>
        <w:t>Sole Article: The transaction notified under number 14-066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