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https://www.autoritedelaconcurrence.fr/fr/decision-de-controle-des-concentrations/relative-la-fusion-du-groupe-mornay-du-groupe-do-et-de-la</w:t>
      </w:r>
    </w:p>
    <w:p>
      <w:r>
        <w:t>Pages translated : 5</w:t>
      </w:r>
    </w:p>
    <w:p/>
    <w:p>
      <w:r>
        <w:rPr>
          <w:b/>
        </w:rPr>
        <w:t>[Pages 1–3]</w:t>
      </w:r>
    </w:p>
    <w:p>
      <w:r>
        <w:t xml:space="preserve">FRENCH REPUBLIC  </w:t>
        <w:br/>
        <w:t xml:space="preserve">Decision No. 12-DCC-93 of June 29, 2012  </w:t>
        <w:br/>
        <w:t xml:space="preserve">regarding the merger of the Mornay Group,  </w:t>
        <w:br/>
        <w:t xml:space="preserve">the D&amp;O Group, and the Interdepartmental Mutual Federation  </w:t>
        <w:br/>
        <w:t>of the Paris Region</w:t>
      </w:r>
    </w:p>
    <w:p>
      <w:r>
        <w:t xml:space="preserve">The Competition Authority,  </w:t>
        <w:br/>
        <w:t xml:space="preserve">Having regard to the notification file submitted in full to the merger service on May 24, 2012,  </w:t>
        <w:br/>
        <w:t xml:space="preserve">regarding the merger between the Mornay group, the D&amp;O group, and the Interdepartmental Mutual Federation of the Paris Region formalized by the boards of directors on October 4 and 5, 2011, approving the merger of Mornay and D&amp;O, as well as a protocol of intent for the FMP's membership in the group resulting from the merger of the Mornay and D&amp;O groups, which came into effect on January 30, 2012;  </w:t>
        <w:br/>
        <w:t xml:space="preserve">Having regard to Book IV of the Commercial Code relating to price freedom and competition, and in particular its Articles L. 430-1 to L. 430-7;  </w:t>
        <w:br/>
        <w:t xml:space="preserve">Having regard to the supplementary elements transmitted by the parties during the investigation;  </w:t>
        <w:br/>
        <w:t>Adopts the following decision:</w:t>
      </w:r>
    </w:p>
    <w:p>
      <w:r>
        <w:t xml:space="preserve">I. The concerned companies and the operation  </w:t>
        <w:br/>
        <w:t xml:space="preserve">1. The Mornay group (hereinafter "Mornay") is a joint social protection group endowed with a top-level association grouping two complementary retirement institutions (CGIS (ARRCO) and ACGME (AGIRC)), an interprofessional provident institution (IPGM), an Association for the Subscription and Management of Provident Insurance (APGME), and a mutual insurance company (Mornay Mutuelle). The group has also developed a commercial activity through its subsidiaries (real estate management, financial management, insurance brokerage). Mornay operates in the sectors of complementary retirement, personal insurance (provident, health, etc.), reinsurance, insurance distribution on behalf of third parties, asset management, and social action.  </w:t>
        <w:br/>
        <w:t xml:space="preserve">2. D&amp;O is a joint social protection group organized around a top-level association and a resource association that includes three complementary retirement institutions (CRIS, CARCEPT (ARRCO), and CRC (AGIRC)), an interprofessional provident institution (OREPA), two professional provident institutions (CARCEPT Prévoyance and IPRIAC), a mutual insurance company (Mutuelle D&amp;O), a public limited insurance company (Domissimo Assurances), a supplementary retirement management institution (CRPB-AFB), two end-of-career leave management associations (AGECFA-Voyageurs and FONGECFA-Transport), and a national personal services brand (Domissimo Services). D&amp;O is active in the sectors of complementary retirement, personal insurance, supplementary retirement, reinsurance, social action, and end-of-career leave.  </w:t>
        <w:br/>
        <w:t xml:space="preserve">3. The Interdepartmental Mutual Federation of the Paris Region (hereinafter "FMP") is a Union of mutual insurance companies subject to the provisions of Book II of the Mutuality Code. The FMP was placed under provisional administration by the Prudential Control Authority (ACP) in December 2008 due to insufficient solvency margin. This process led to a recovery plan resulting in the exit of a large number of activities previously carried out by the FMP. As a result, the FMP is primarily active in the sectors of complementary health insurance and reinsurance. Very marginally, it carries out activities outside the insurance scope for its partner mutuals, which, due to their marginal nature, will not be further addressed.  </w:t>
        <w:br/>
        <w:t>4. The operation consists of the creation of a new structure composed of a top-level association created with a nearly identical scope among the members of the two existing top-level associations. The boards of directors of the top-level associations of Mornay and D&amp;O met on October 4 and 5, 2011, respectively, to validate the merger of the two groups and on January 24 and 26, 2012, to validate the FMP's membership in the new entity. The new top-level association will subsequently absorb the two pre-existing top-level associations through a merger with the transfer of their entire assets. The 30 members of the Board of Directors, responsible for defining the strategic orientations of the group, will be appointed by the trade unions and employer organizations, while the presidency will be organized on an alternating basis, in accordance with the reference statutes emanating from AGIRC-ARRCO. The pooling of the operational resources of the new entity will be organized around a resource association, created through a merger and transfer of the entire assets of the two pre-existing resource associations. Its 30 directors are intended to represent the 10 entities and institutions resulting from the merger process. The new resource association is intended to be the sole employer of all employees of the new group. The new entity will also include a group insurance company (hereinafter "SGA"), governed by the provisions of Articles L 322-1-2 and following of the Insurance Code, and linked to the new top-level association by an operating agreement. The insurance management company will aim to (i) finalize the combined accounts of the group; (ii) ensure the solvency of its members within the framework of financial solidarity and under the direct authority of the new top-level association; (iii) ensure the implementation of its members' objectives within the framework of the overall strategy defined by the top-level association. Once the process is completed, the FMP, linked to the top-level association by an operating agreement, will be responsible for federating as a union the future mutualist hub of the new entity. The FMP will also be linked to the SGA by an affiliation agreement. Finally, the parties have planned, in 2012 and 2013, the merger between certain interprofessional provident institutions of the two groups.</w:t>
      </w:r>
    </w:p>
    <w:p>
      <w:r>
        <w:t xml:space="preserve">5. The creation of the new entity thus resembles the creation of a common economic unit, within the meaning of paragraph 23 of the guidelines of the Competition Authority regarding merger control, which specify that "de facto mergers are subject to merger control just like de jure mergers, as soon as they lead to the combination of activities of previously independent companies within a single economic entity. The existence of a single and sustainable economic management is a necessary condition to determine whether such a concentration is present. To determine this, the Authority considers all legal and factual circumstances that allow the operation to be characterized."  </w:t>
        <w:br/>
        <w:t xml:space="preserve">6. In view of these elements, and in accordance with previous decision-making practice, the merger of the Mornay and D&amp;O groups as well as the FMP's membership is analyzed as a merger of previously independent entities. Consequently, the present operation constitutes a concentration within the meaning of Article L. 430-1 of the Commercial Code.  </w:t>
        <w:br/>
        <w:t>7. The concerned companies together achieved a consolidated worldwide turnover excluding taxes of more than 150 million euros in 2010 (Mornay group: 468 million euros; D&amp;O group: 267 million euros; FMP: 98.1 million euros). Each of these companies achieved, in France, a turnover exceeding 50 million euros (Mornay group: 468 million euros; D&amp;O group: 267 million euros; FMP: 98.1 million euros). Given these turnover figures, the operation does not have a Community dimension. On the other hand, the control thresholds mentioned in I of Article L. 430-2 of the Commercial Code are exceeded. This operation is therefore subject to the provisions of Articles L. 430-3 and following of the Commercial Code relating to economic concentration.</w:t>
      </w:r>
    </w:p>
    <w:p>
      <w:r>
        <w:t xml:space="preserve">II. Delimitation of relevant markets  </w:t>
        <w:br/>
        <w:t xml:space="preserve">8. The parties to the operation are simultaneously active in the insurance and reinsurance sector.  </w:t>
        <w:br/>
        <w:t xml:space="preserve">9. The parties are also active in the sector of mandatory complementary retirement for employees as managers of a distribution scheme and in the social action sector. Indeed, each of the two groups has one or more ARRCO and AGIRC institutions in the sector of mandatory complementary retirement for employees. However,  </w:t>
        <w:br/>
        <w:t>L'Arrco (Association of Complementary Retirement Schemes) and the Agirc (General Association of Retirement Institutions for Executives) are two mandatory complementary retirement schemes based on distribution. Article L. 921-4 of the Social Security Code specifies that "the complementary retirement schemes for employees (...) are implemented by complementary retirement institutions and Federations grouping these institutions," which have a monopoly situation in the field of complementary retirement based on distribution. The complementary retirement institutions, members of Agirc and Arrco, therefore manage the scheme to which they adhere, in relation to the member companies and participants. To carry out this management under the conditions defined by the Federations, under their control, and with the resources made available to them, the Agirc and Arrco institutions currently operate within the framework of social protection groups. As soon as the group integrates legal entities other than jointly managed organizations, a complex legal group structure must be established. In this case, the groups equip themselves with management structures (association or GIE) integrating all members of the group to share human and IT resources, alongside the top-level body that defines the strategic orientations of the group, and within which only jointly managed members sit.</w:t>
      </w:r>
    </w:p>
    <w:p>
      <w:r>
        <w:rPr>
          <w:b/>
        </w:rPr>
        <w:t>[Pages 4–5]</w:t>
      </w:r>
    </w:p>
    <w:p>
      <w:r>
        <w:t>accordance with previous decision-making practice, these activities do not constitute economic activities and therefore do not constitute "markets" within the meaning of competition law.</w:t>
      </w:r>
    </w:p>
    <w:p>
      <w:r>
        <w:t>A. DELINEATION OF PRODUCT OR SERVICE MARKETS</w:t>
      </w:r>
    </w:p>
    <w:p>
      <w:r>
        <w:t>10. National and Community decision-making practice consistently distinguishes reinsurance activities from insurance activities.</w:t>
      </w:r>
    </w:p>
    <w:p>
      <w:r>
        <w:t>11. Regarding reinsurance, national and Community competition authorities consider it a distinct market due to the specificity of its purpose (the distribution of risks among insurers) and the less stringent regulatory constraints on this activity. Subdivisions of this market have been considered. However, it is not necessary to precisely define the reinsurance markets in this case, as each of the two groups only engages in reinsurance operations marginally.</w:t>
      </w:r>
    </w:p>
    <w:p>
      <w:r>
        <w:t>12. Regarding insurance activities, a distinction has been made between life insurance and property and liability insurance, each of which can in turn be segmented into as many markets as there are insurances covering different types of risks. Finally, further segmentations have been considered within life insurance between group insurance contracts and individual insurance contracts, and within property and liability insurance between insurance for individuals and insurance for professionals.</w:t>
      </w:r>
    </w:p>
    <w:p>
      <w:r>
        <w:t>13. In this case, the parties to the operation are simultaneously active in life insurance, in the following segments:</w:t>
        <w:br/>
        <w:t>- markets for collective and individual provident insurance that include insurance products intended to cover beneficiaries against an unpredictable loss of income (in the event of death, disability, or incapacity) through a payment in the form of a capital sum or an annuity;</w:t>
        <w:br/>
        <w:t>- markets for collective and individual complementary health insurance that aim to supplement the benefits offered by mandatory health insurance schemes. The risk covered corresponds to the costs not covered by social security that must be incurred for medical treatment. Additional reimbursements depend on the benefits of the legal social security scheme.</w:t>
      </w:r>
    </w:p>
    <w:p>
      <w:r>
        <w:t>5 See in particular, regarding the mandatory complementary retirement of employees, the letters from the Minister of Economy dated August 21, 2007, to the boards of the AG2R Prévoyance provident institute and La Mondiale, and dated December 27, 2007, to the board of Groupama SA and Réunica Prévoyance, and regarding social action, the letters from the Minister of Economy, dated October 28, 2008, to the boards of Mutuelle Harmonie Mutualité and dated August 5, 2008, to the boards of Mutuelle Générale des Préfectures and Territorial Administration, as well as decision No. 11-DCC-215 mentioned above.</w:t>
      </w:r>
    </w:p>
    <w:p>
      <w:r>
        <w:t>6 See for example the decisions of the European Commission COMP/M.3556 - Fortis / BCP of January 19, 2005, COMP/M.2676 - SAMPO / VARMA SAMPO / IF HOLDING / JV of December 18, 2001, IV/M.862 - AXA / UAP of December 20, 1996, as well as decisions No. 09-DCC-16 of June 22, 2009, regarding the merger between the Caisse d’Epargne and Banque Populaire groups and No. 10-DCC-52 of June 2, 2010, regarding the creation of a SGAM by MACIF, MAIF, and MATMUT.</w:t>
      </w:r>
    </w:p>
    <w:p>
      <w:r>
        <w:t>7 See for example the decisions of the European Commission COMP/M.5083 - GROUPAMA / OTP GARANCIA of April 15, 2008, COMP/M.3556 - FORTIS / BCP of January 19, 2005, IV/M.862 - AXA / UAP of December 20, the decision No. 09-DCC-16 of June 22, 2009, regarding the merger between the Caisse d’Epargne and Banque Populaire groups, and the letters from the Minister of Economy dated October 1, 2007, to the board of the Swiss Insurance Holdings Company and dated September 10, 2008, to the board of Esca.</w:t>
      </w:r>
    </w:p>
    <w:p>
      <w:r>
        <w:t>8 Letter from the Minister of Economy dated October 28, 2008, to the boards of Mutuelle Harmonie Mutualité.</w:t>
      </w:r>
    </w:p>
    <w:p>
      <w:r>
        <w:t>9 Letters from the Minister of Economy dated October 28, 2008, to the boards of Mutuelle Harmonie Mutualité and dated August 21, 2007, to the boards of AG2R Prévoyance provident institute and La Mondiale.</w:t>
      </w:r>
    </w:p>
    <w:p>
      <w:r>
        <w:t>B. DELINEATION OF GEOGRAPHICAL MARKETS</w:t>
      </w:r>
    </w:p>
    <w:p>
      <w:r>
        <w:t>14. It follows from decision-making practice that the reinsurance market is of a global dimension, particularly given the need to balance risks at the international level.</w:t>
      </w:r>
    </w:p>
    <w:p>
      <w:r>
        <w:t>15. Furthermore, national and Community decision-making practice has considered that insurance markets, with the exception of certain insurances covering large-scale risks, are of a national dimension due to consumer preferences, the existence of national legislation and tax constraints, the current structure of these markets, and regulatory systems.</w:t>
      </w:r>
    </w:p>
    <w:p>
      <w:r>
        <w:t>16. There is no need to challenge these delineations to analyze the effects of the present operation.</w:t>
      </w:r>
    </w:p>
    <w:p>
      <w:r>
        <w:t>III. Competitive Analysis</w:t>
      </w:r>
    </w:p>
    <w:p>
      <w:r>
        <w:t>17. Following the operation, the combined market share of the parties will be less than 5% in each of the markets where the parties' activities overlap, namely the markets for individual and collective complementary health insurance as well as individual and collective provident insurance. The same applies to reinsurance, as each of the two groups only engages in reinsurance operations marginally.</w:t>
      </w:r>
    </w:p>
    <w:p>
      <w:r>
        <w:t>18. Moreover, in each of these markets, the entity resulting from the notified operation will continue to face competition from numerous players whose market shares are greater than those of the new entity. Thus, the main competitors of the parties include, in particular, Crédit Agricole, Axa, MGEN, Generali, Crédit Mutuel, Société Générale, Allianz, AG2R-La Mondiale.</w:t>
      </w:r>
    </w:p>
    <w:p>
      <w:r>
        <w:t>19. In light of the above, the notified operation is not likely to harm competition.</w:t>
      </w:r>
    </w:p>
    <w:p>
      <w:r>
        <w:t>DECIDES</w:t>
      </w:r>
    </w:p>
    <w:p>
      <w:r>
        <w:t>Sole Article: The operation notified under number 12-017 is authorized.</w:t>
      </w:r>
    </w:p>
    <w:p>
      <w:r>
        <w:t>The President,</w:t>
        <w:br/>
        <w:t>Bruno Lasserre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