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https://www.autoritedelaconcurrence.fr/fr/decision-de-controle-des-concentrations/relative-la-fusion-entre-la-fondation-hopital-saint-joseph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19-DCC-194 of October 30, 2019  </w:t>
        <w:br/>
        <w:t xml:space="preserve">regarding the merger between the Fondation Hôpital Saint-Joseph and  </w:t>
        <w:br/>
        <w:t xml:space="preserve">the Association Marie Lannelongue  </w:t>
        <w:br/>
        <w:t xml:space="preserve">The Competition Authority,  </w:t>
        <w:br/>
        <w:t xml:space="preserve">Having regard to the complete notification file sent to the mergers department on October 2, 2019,  </w:t>
        <w:br/>
        <w:t xml:space="preserve">concerning the merger between the Fondation Hôpital Saint-Joseph and the Association Marie Lannelongue,  </w:t>
        <w:br/>
        <w:t xml:space="preserve">formalized by a merger agreement approved by the boards of directors of the notifying parties on September 26,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merger between the Fondation Hôpital Saint-Joseph and  </w:t>
        <w:br/>
        <w:t xml:space="preserve">the Association Marie Lannelongue. This merger will take the form of a merger by absorption, with  </w:t>
        <w:br/>
        <w:t xml:space="preserve">the Fondation Hôpital Saint-Joseph absorbing the Association Marie Lannelongue. It constitutes  </w:t>
        <w:br/>
        <w:t xml:space="preserve">a concentration within the meaning of Article L. 430-1 of the Commercial Code. Given the revenues  </w:t>
        <w:br/>
        <w:t xml:space="preserve">generated by the companies involved, the operation does not fall under the jurisdiction of  </w:t>
        <w:br/>
        <w:t xml:space="preserve">the European Union. However,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The market concerned by the operation is the market for the provision of diagnostics and hospital care  </w:t>
        <w:br/>
        <w:t xml:space="preserve">(in Île-de-France), consistently defined by the decision-making practice of the Competition Authority.  </w:t>
        <w:br/>
        <w:t xml:space="preserve">3. Regardless of the segmentations retained, the combined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19-102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