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https://www.autoritedelaconcurrence.fr/fr/decision-de-controle-des-concentrations/relative-la-fusion-entre-le-groupe-auchan-et-le-groupement</w:t>
      </w:r>
    </w:p>
    <w:p>
      <w:r>
        <w:t>Pages translated : 4</w:t>
      </w:r>
    </w:p>
    <w:p/>
    <w:p>
      <w:r>
        <w:rPr>
          <w:b/>
        </w:rPr>
        <w:t>[Pages 1–3]</w:t>
      </w:r>
    </w:p>
    <w:p>
      <w:r>
        <w:t xml:space="preserve">FRENCH REPUBLIC  </w:t>
        <w:br/>
        <w:t xml:space="preserve">Decision No. 16-DEX-03 of May 23, 2016  </w:t>
        <w:br/>
        <w:t xml:space="preserve">regarding the merger between the Auchan group and the Système U group  </w:t>
        <w:br/>
        <w:t xml:space="preserve">The Competition Authority,  </w:t>
        <w:br/>
        <w:t xml:space="preserve">Having regard to the request for referral submitted on July 17, 2015, by Auchan and Système U and the referral decision of the European Commission of August 24, 2015, made pursuant to Article 4, paragraph 4 of Regulation (EC) No. 139/2004 of the Council;  </w:t>
        <w:br/>
        <w:t xml:space="preserve">Having regard to the notification file sent to the merger control service on December 30, 2015, and declared complete on April 7, 2016, concerning the de facto merger between the Auchan group and the Système U group, formalized by an alliance contract dated [confidential];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 xml:space="preserve">Having regard to the other documents in the file;  </w:t>
        <w:br/>
        <w:t xml:space="preserve">Adopts the following decision:  </w:t>
        <w:br/>
        <w:t xml:space="preserve">1. The Auchan group, exclusively controlled by the public limited company Auchan Holding, the new name of the company Groupe Auchan since December 2, 2015, is held at […]% by shareholders of the Mulliez family1, notably through the company [confidential] which holds […]% of the shares of Auchan Holding. The "Mulliez Family" as a fully-fledged economic entity with all the companies controlled by members of the Mulliez family2 directly or indirectly controls several companies active in the distribution sector, including the companies Auchan, [confidential].  </w:t>
        <w:br/>
        <w:t xml:space="preserve">1 The remainder is held by Auchan employees.  </w:t>
        <w:br/>
        <w:t>2 See in particular the letters from the Minister of Economy, Finance and Industry dated February 10, 2003, to the board of the company Leroy Merlin, regarding a concentration in the retail distribution sector of DIY and home improvement articles, and dated April 7, 2004, to the board of the company Leroy Merlin, regarding a concentration in the retail distribution sector of DIY and home improvement articles, as well as the decisions of the Competition Authority No. 09-DCC-12 of June 9, 2009, regarding the acquisition of the company Surcouf by Mr. Hugues Mulliez and No. 11-DCC-87 of June 10, 2011, regarding the exclusive control of the company Media Concorde SNC by the company High Tech Multicanal.</w:t>
      </w:r>
    </w:p>
    <w:p>
      <w:r>
        <w:t xml:space="preserve">2. Auchan is an international group whose main activity is the distribution of food products, through hypermarkets (155), supermarkets (300), and convenience stores (50) under the brands Auchan, Simply Market, and A2Pas. It also engages in real estate activities (through its subsidiary Immochan) and banking activities (through its subsidiary Oney Banque Accord). The purchasing center Eurauchan is owned […]% by the companies Atac and Auchan France, subsidiaries controlled by Auchan, and […]% by the Schiever group. The minority shareholding of the Schiever group does not grant it any rights allowing it to exercise decisive influence within the meaning of merger control law over the activity of Eurauchan, which is thus exclusively controlled by the Auchan group.  </w:t>
        <w:br/>
        <w:t xml:space="preserve">3. The Système U group includes the company Système U Centrale Nationale, four regional cooperatives, and independent retailers. These independent retailers, each owning their store, have decided to group together within a cooperative. They operate general food stores under the brands Hyper U (64 stores), Super U (731 stores), Marché U (three stores), U Express (333 stores), and Utile (434 stores) and are all members of one of the four regional centers. These regional cooperatives (the companies Système U Centrale Régionale Est, Nord-Ouest, Ouest, and Sud) have the main purpose of purchasing goods from suppliers and reselling them to their cooperative members, who operate U stores. In accordance with the rules relating to cooperative societies, decisions are made by the cooperative members who operate a U store according to the principle of "one man, one vote," and there is an inseparable link between the status of member and that of customer of the cooperative, one not existing without the other as the cooperative can only deliver to its members. The cooperative Système U Centrale Nationale, a union of these independent cooperatives, is the network head and the center of decisions made within the group. The members of the company Système U Centrale Nationale are the four regional centers and certain directors of these centers.  </w:t>
        <w:br/>
        <w:t xml:space="preserve">4. On [confidential], Auchan and Système U entered into an alliance contract organizing the rapprochement of the two groups beyond a common purchasing mandate established on September 10, 2014. In its referral decision No. COMP/M.7592 of August 24, 2015, the European Commission considered that this alliance contract constituted a de facto merger for several reasons, the main ones being outlined below:  </w:t>
        <w:br/>
        <w:t xml:space="preserve">- the alliance contract provides that the hypermarkets currently under the "Hyper U" brand3 are intended to switch to the "Auchan" brand and the supermarkets of the Auchan group currently under the "Simply Market" brand are intended to switch to the "Super U" brand4. From the completion of the operation, Système U will no longer offer the "Hyper U" brand to hypermarkets of more than […] m². Similarly, the Auchan Group will no longer offer the "Simply Market" brand;  </w:t>
        <w:br/>
        <w:t xml:space="preserve">- the scope of the purchasing cooperation agreement concluded by the parties on September 10, 2014, currently limited to manufacturer brand products (hereinafter "MDF"), will be expanded under the alliance contract to all products ([confidential]) and will notably be extended to private label brands (hereinafter "MDD"), entry-level products (hereinafter "MPP"), and internally used products not intended for resale in stores (non-commercial products). Furthermore, the scope of joint purchases will cover all brands of the parties, regardless of the format (supermarkets, hypermarkets, convenience stores, and e-commerce)5;  </w:t>
        <w:br/>
        <w:t xml:space="preserve">- significant synergies concerning [confidential] will be implemented, notably through [confidential];  </w:t>
        <w:br/>
        <w:t xml:space="preserve">- support functions such as [confidential] will be shared. Both parties will take cross-shareholdings in the specialized entities responsible for these functions;  </w:t>
        <w:br/>
        <w:t xml:space="preserve">- a strategic committee will be created and will make decisions on all subjects covered by the alliance ([confidential]). Voting rights will be equally distributed between the two parties;  </w:t>
        <w:br/>
        <w:t xml:space="preserve">- the alliance, concluded for a period of [confidential], would be difficult to reverse (due to the change of brands and the pooling of numerous strategic functions) and [confidential].  </w:t>
        <w:br/>
        <w:t xml:space="preserve">5. In light of these elements, the alliance contract dated [confidential] organizes the de facto merger of the Auchan group and the Système U group and constitutes, as such, a concentration within the meaning of Article L 430-1 of the Commercial Code.  </w:t>
        <w:br/>
        <w:t xml:space="preserve">6. This operation falls under the competence of the European Union pursuant to Article 1, paragraph 2 of Regulation (EC) No. 139/2004 of the Council concerning the control of concentrations between undertakings. Indeed, the companies concerned have jointly achieved a consolidated worldwide turnover of more than 5 billion euros (Mulliez Family: […] euros for the financial year ending December 31, 2014; Système U group: […] euros for the same financial year). Furthermore, each of them has achieved a turnover in the European Union exceeding 250 million euros (Mulliez Family: […] euros for the financial year ending December 31, 2014; Système U group: […] euros for the same financial year) and only the Système U group generates more than two-thirds of its turnover in a single Member State.  </w:t>
        <w:br/>
        <w:t xml:space="preserve">7. However, following the request of the notifying parties, the European Commission agreed to refer the operation to the Competition Authority pursuant to Article 4, paragraph 4, of the aforementioned Regulation (EC) No. 139/2004 by decision No. COMP/M.7592 Système U Centrale Nationale / Auchan dated August 24, 2015. The de facto merger between Auchan and Système U is therefore subject, pursuant to IV of Article L. 430-2 of the Commercial Code, to French merger control.  </w:t>
        <w:br/>
        <w:t xml:space="preserve">8. The operation consists of the rapprochement of two operators active in the retail distribution markets predominantly focused on food. It will particularly lead to a strengthening of the notifying party's positions both in the upstream supply markets and in the downstream food distribution markets.  </w:t>
        <w:br/>
        <w:t xml:space="preserve">9. First of all, regarding supply, the operation is likely to strengthen the purchasing power of the parties in several product markets through the food distribution channel. The risk that the operation places a significant number of suppliers in a situation of economic dependence or reinforces such dependence cannot be ruled out. In particular, suppliers belonging to categories that were not covered by the 2014 purchasing rapprochement (private label manufacturers, SMEs, suppliers of traditional fresh products) are particularly exposed to the effects of the concentration. Moreover, the operation could eliminate alternative outlets that  </w:t>
        <w:br/>
        <w:t>5 See Article [confidential] of the alliance contract.</w:t>
      </w:r>
    </w:p>
    <w:p>
      <w:r>
        <w:rPr>
          <w:b/>
        </w:rPr>
        <w:t>[Pages 4–4]</w:t>
      </w:r>
    </w:p>
    <w:p>
      <w:r>
        <w:t>currently constitute the regional purchasing centers of Système U for certain suppliers, particularly of fresh products.</w:t>
      </w:r>
    </w:p>
    <w:p>
      <w:r>
        <w:t>10. Furthermore, the operation is likely to pose risks to competition through horizontal effects in the downstream market of food-dominant distribution. Auchan and Système U are major operators in this mode of distribution, and their merger would lead to the creation of the leading national player in the sector in terms of market share by value. At the local level, the positions of the parties are likely to raise serious doubts about harm to competition, as the market share of the new entity will be very significant in a large number of local areas. The analysis of the effects of the operation at the national and local levels therefore raises, in the current state of the file, serious doubts about harm to competition.</w:t>
      </w:r>
    </w:p>
    <w:p>
      <w:r>
        <w:t>11. Finally, the examination of the effects of the operation requires clarification of two particular elements. First, the scope of the competitive analysis must be defined taking into account the existence of a partnership between Auchan and the Schiever group, "master franchisee" operating Auchan hypermarkets and Atac supermarkets, to which various contractual obligations apply that may limit its commercial autonomy within the meaning of the decision-making practice of the Authority and the case law of the Conseil d’Etat. Moreover, the examination of the local effects of the operation is likely to be significantly affected by the integration, into the competitive analysis, of isolated "drive" sales points (i.e., not attached to a physical sales point), operated by the parties but also by competitors. It is therefore necessary to specify the methodology applicable for the purpose of estimating the competitive pressure of this type of sales point on traditional stores.</w:t>
      </w:r>
    </w:p>
    <w:p>
      <w:r>
        <w:t>12. In light of these elements, a thorough examination should be initiated, pursuant to III of Article L. 430-5 of the Commercial Code.</w:t>
      </w:r>
    </w:p>
    <w:p>
      <w:r>
        <w:t>DECIDES</w:t>
      </w:r>
    </w:p>
    <w:p>
      <w:r>
        <w:t>Sole Article: The operation notified under number 15-080 is subject to a thorough examination under the conditions provided for in Article L. 430-6 of the Commercial Code.</w:t>
      </w:r>
    </w:p>
    <w:p>
      <w:r>
        <w:t>The President,</w:t>
        <w:br/>
        <w:t>Bruno Lasserre</w:t>
        <w:br/>
        <w:t>© Competition Authority</w:t>
        <w:br/>
        <w:t>Decision No. 10-DCC-01 of January 12, 2010, regarding the exclusive control by Mr Bricolage of the company Passerelle and the decision of the Conseil d’État of December 23, 2010, No. 337533.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