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https://www.autoritedelaconcurrence.fr/fr/decision-de-controle-des-concentrations/relative-la-fusion-entre-les-cooperatives-agricoles-agrial</w:t>
      </w:r>
    </w:p>
    <w:p>
      <w:r>
        <w:t>Pages translated : 2</w:t>
      </w:r>
    </w:p>
    <w:p/>
    <w:p>
      <w:r>
        <w:rPr>
          <w:b/>
        </w:rPr>
        <w:t>[Pages 1–2]</w:t>
      </w:r>
    </w:p>
    <w:p>
      <w:r>
        <w:t xml:space="preserve">FRENCH REPUBLIC  </w:t>
        <w:br/>
        <w:t xml:space="preserve">Decision No. 23-DCC-37 of February 28, 2023  </w:t>
        <w:br/>
        <w:t>regarding the merger between the agricultural cooperatives Agrial, Natura’Pro, and Natura’Pro Semences</w:t>
      </w:r>
    </w:p>
    <w:p>
      <w:r>
        <w:t>The Competition Authority,</w:t>
      </w:r>
    </w:p>
    <w:p>
      <w:r>
        <w:t>Having regard to the complete notification file submitted to the mergers department on February 10, 2023, concerning the merger of the agricultural cooperatives Agrial and Natura’Pro and the agricultural cooperatives Agrial and Natura’Pro Semences, formalized by two merger agreements concluded between the parties on November 2,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merger of the agricultural cooperatives Agrial and Natura’Pro, on the one hand, and Agrial and Natura’Pro Semences, on the other hand. These companies are primarily active in the sectors of grain collection and marketing, agricultural supply, animal nutrition, as well as in the distribution sector of gardening, DIY, pet supplies, and outdoor development.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The companies Natura’Pro and Natura’Pro Semences form an economic unit within the meaning of point 26 of the guidelines of the Competition Authority regarding the control of concentrations of 2020. Indeed, several elements demonstrate a unique and sustainable economic management between these two entities, notably the fact that the general management of Natura’Pro Semences is ensured by the general director of Natura’Pro, all 6 members of the board of directors of Natura’Pro Semences are also members of the board of directors of Natura’Pro, and the president of the board of directors of Natura’Pro Semences is a member of the executive committee of Natura’Pro. Furthermore, the current and administrative management of Natura’Pro Semences, which does not have personnel for this purpose, is handled by Natura’Pro, and these two entities have their registered office located at the same address. Finally, the members of Natura’Pro Semences are all members of Natura’Pro, and there is a capital link between these two cooperatives.</w:t>
      </w:r>
    </w:p>
    <w:p>
      <w:r>
        <w:t xml:space="preserve">DECIDES  </w:t>
        <w:br/>
        <w:t xml:space="preserve">Single Article: The operation notified under number 22-331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