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https://www.autoritedelaconcurrence.fr/fr/decision-de-controle-des-concentrations/relative-la-fusion-entre-les-cooperatives-agricoles-ocealia</w:t>
      </w:r>
    </w:p>
    <w:p>
      <w:r>
        <w:t>Pages translated : 20</w:t>
      </w:r>
    </w:p>
    <w:p/>
    <w:p>
      <w:r>
        <w:rPr>
          <w:b/>
        </w:rPr>
        <w:t>[Pages 1–3]</w:t>
      </w:r>
    </w:p>
    <w:p>
      <w:r>
        <w:t>FRENCH REPUBLIC</w:t>
        <w:br/>
        <w:t>Decision No. 19-DCC-266 of December 27, 2019</w:t>
        <w:br/>
        <w:t>regarding the merger between the agricultural cooperatives Océalia and Natéa</w:t>
        <w:br/>
        <w:t>The Competition Authority,</w:t>
        <w:br/>
        <w:t>Having regard to the notification file submitted in full to the concentrations service on November 25, 2019, regarding the merger between the agricultural cooperatives Océalia and Natéa, formalized by a merger project dated October 17, 2019;</w:t>
        <w:br/>
        <w:t>Having regard to Book IV of the Commercial Code relating to the freedom of prices and competition, and in particular its Articles L. 430-1 to L. 430-7;</w:t>
        <w:br/>
        <w:t>Adopts the following decision:</w:t>
      </w:r>
    </w:p>
    <w:p>
      <w:r>
        <w:t>Summary1</w:t>
        <w:br/>
        <w:t>On November 25, 2019, the agricultural cooperative Océalia notified the Competition Authority of its project for a merger by absorption with the agricultural cooperative Natéa. Both parties are active in the sectors of cereals, oilseeds, and protein crops, agro-supply, animal nutrition, and the retail distribution of gardening, DIY, outdoor equipment, and pet products.</w:t>
        <w:br/>
        <w:t>The Competition Authority considered that the operation does not raise any competition issues in the markets for animal nutrition and the retail distribution of gardening, DIY, outdoor equipment, and pet products, given the insignificant overlap in activities.</w:t>
        <w:br/>
        <w:t>In the markets for the collection of cereals, protein crops, and oilseeds, and the distribution of agro-supply products, significant horizontal overlaps were identified in the department of Haute-Vienne (87). Thus, the Competition Authority conducted a thorough examination of the risks of a significant reduction in competition at the departmental level, notably based on market tests conducted with the players in these markets.</w:t>
        <w:br/>
        <w:t>Regarding the markets for the collection of cereals, protein crops, and oilseeds, the Authority considered that the presence of competitors of similar scale was likely to maintain sufficient competitive intensity following the operation.</w:t>
        <w:br/>
        <w:t>Regarding the markets for the distribution of agro-supply products, the competitors surveyed during the market tests stated that they would be able to effectively compete with the new entity, in the event that it increased its prices following the operation, and that its consumers would need to seek credible alternatives.</w:t>
        <w:br/>
        <w:t>Thus, any competition concerns could be dismissed at phase 1, and the Competition Authority authorized the operation, without remedy.</w:t>
        <w:br/>
        <w:t>1 This summary is strictly informative. Only the reasons for the decision numbered below are authoritative.</w:t>
      </w:r>
    </w:p>
    <w:p>
      <w:r>
        <w:t>I. The companies concerned and the operation</w:t>
        <w:br/>
        <w:t>1. The Océalia group, composed of the agricultural cooperative Océalia and its subsidiaries, is present in the departments of Charente (16), Charente-Maritime (17), Deux-Sèvres (79), Dordogne (24), Gironde (33), Haute-Vienne (87), and Vienne (86). Organized around four poles (agriculture pole, viticulture and general public pole, industrial pole, and livestock pole), the group is notably active in the collection and marketing of cereals, oilseeds, and protein crops, the consulting and sale of agro-supply products, the operation of garden centers, the production and sale of seeds, the production and sale of popcorn, and the production of feed for animal nutrition.</w:t>
        <w:br/>
        <w:t>2. The agricultural cooperative Natéa is present in the departments of Corrèze (19), Creuse (23), and Haute-Vienne (87). It is notably active in the collection and marketing of cereals, oilseeds, and protein crops, the consulting and sale of agro-supply products, and the production, multiplication, and marketing of seeds.</w:t>
        <w:br/>
        <w:t>3. As it entails the merger by absorption of the agricultural cooperative Natéa by the Océalia group, the notified operation constitutes a concentration within the meaning of Article L. 430-1 of the Commercial Code.</w:t>
        <w:br/>
        <w:t>4. The companies concerned together achieve a total turnover excluding taxes on a global scale of more than 150 million euros (Océalia group: [≥ 150] million euros for the fiscal year ending June 30, 2018; Natéa: [≤ 150] million euros for the fiscal year ending June 30, 2018). Each of these companies has achieved in France a total turnover excluding taxes exceeding 50 million euros (Océalia group: [≥ 50] million euros for the fiscal year ending June 30, 2018; Natéa: [≥ 50] million euros for the fiscal year ending June 30, 2018).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concentrations.</w:t>
      </w:r>
    </w:p>
    <w:p>
      <w:r>
        <w:t>II. Definition of the relevant markets</w:t>
        <w:br/>
        <w:t>5. The two entities are active in the sectors of cereals, oilseeds, and protein crops (A), agro-supply (B), animal nutrition (C), and the retail distribution of gardening, DIY, outdoor equipment, and pet products (D)2.</w:t>
        <w:br/>
        <w:t>2 Océalia is also active in the multiplication and marketing of self-fertilizing seeds. Given its market shares, systematically below 5%, regardless of the segment considered, any risk of harm to competition through horizontal or vertical effects can be dismissed in this market, which will therefore not be subject to detailed analysis in the context of this decision.</w:t>
      </w:r>
    </w:p>
    <w:p>
      <w:r>
        <w:rPr>
          <w:b/>
        </w:rPr>
        <w:t>[Pages 4–6]</w:t>
      </w:r>
    </w:p>
    <w:p>
      <w:r>
        <w:t xml:space="preserve">A. THE CEREALS, OILSEEDS, AND PROTEIN CROPS SECTOR  </w:t>
        <w:br/>
        <w:t xml:space="preserve">6. National decision-making practice distinguishes the upstream market of the collection of cereals, protein crops, and oilseeds by collecting organizations from farmers (1) from the downstream market of commercialization by collecting organizations responsible for resale (2).  </w:t>
        <w:br/>
        <w:t xml:space="preserve">1. THE UPSTREAM MARKET OF THE COLLECTION OF CEREALS, PROTEIN CROPS, AND OILSEEDS  </w:t>
        <w:br/>
        <w:t xml:space="preserve">a) Product Markets  </w:t>
        <w:br/>
        <w:t xml:space="preserve">7. Regarding product markets, national decision-making practice recognizes the existence of a single collection market encompassing cereals, protein crops, and oilseeds (hereinafter, the "COP"), insofar as collection silos can indiscriminately store all types of grains, with some of them only requiring specific infrastructures, such as dryers for corn or sorting tools for peas.  </w:t>
        <w:br/>
        <w:t xml:space="preserve">b) Geographical Markets  </w:t>
        <w:br/>
        <w:t xml:space="preserve">8. National decision-making practice considers that the collection of COP is a local market. In accordance with the analytical method adopted by the Authority in its previous decisions, a first analysis at the departmental level will identify the areas where the activities of the parties essentially overlap. A second approach focusing on areas within 45 kilometers around the collection points (silos and platforms) that will take into account the location of competing collection points within this perimeter will allow for a deeper competitive analysis.  </w:t>
        <w:br/>
        <w:t xml:space="preserve">9. The activities of the parties in this market therefore only overlap in the former region of Limousin, and more specifically in the departments of Charente (16), Creuse (23), Dordogne (24), Vienne (86), and Haute-Vienne (87).  </w:t>
        <w:br/>
        <w:t xml:space="preserve">10. The analysis will be conducted at the departmental and local levels.  </w:t>
        <w:br/>
        <w:t xml:space="preserve">2. THE DOWNSTREAM MARKETS FOR THE COMMERCIALIZATION OF CEREALS, PROTEIN CROPS, AND OILSEEDS (COP)  </w:t>
        <w:br/>
        <w:t xml:space="preserve">a) Product Markets  </w:t>
        <w:br/>
        <w:t xml:space="preserve">11. Decision-making practice considers, while leaving the question of the precise delineation of these markets open, to distinguish as many markets as there are types of COP (wheat, rapeseed, corn, etc.). Within the market for the commercialization of wheat, the Authority considers distinguishing durum wheat from soft wheat.  </w:t>
        <w:br/>
        <w:t xml:space="preserve">12. It also considers that each type of COP can be segmented based on its origin (organic or non-organic).  </w:t>
        <w:br/>
        <w:t xml:space="preserve">13. Finally, decision-making practice distinguishes two categories of buyers, industrial users and traders.  </w:t>
        <w:br/>
        <w:t xml:space="preserve">14. In the present case, the parties are simultaneously present in the commercialization of soft wheat, rye, corn, barley, buckwheat, triticale, oats, rapeseed, and sunflower, exclusively of non-organic origin, intended for industrial users and traders.  </w:t>
        <w:br/>
        <w:t xml:space="preserve">15. Only Océalia markets COP of organic origin. Furthermore, Océalia markets durum wheat, sorghum, soybeans, peas, and fava beans.  </w:t>
        <w:br/>
        <w:t xml:space="preserve">b) Geographical Markets  </w:t>
        <w:br/>
        <w:t xml:space="preserve">16. Decision-making practice considers that the various markets for the commercialization of COP are of national, if not European, dimension.  </w:t>
        <w:br/>
        <w:t xml:space="preserve">B. THE AGRO-SUPPLY SECTOR  </w:t>
        <w:br/>
        <w:t xml:space="preserve">17. In terms of agro-supply, decision-making practice distinguishes on the one hand the upstream market, involving manufacturers as sellers and distributors or agricultural cooperatives as buyers, and on the other hand the downstream market involving distributors or agricultural cooperatives as resellers, and farmers as buyers.  </w:t>
        <w:br/>
        <w:t xml:space="preserve">18. Within the downstream market for the distribution of agro-supply products, decision-making practice notably distinguishes agro-supply products intended for land cultivation, those intended for livestock, animal hygiene and health products, and those intended for vineyards.  </w:t>
        <w:br/>
        <w:t xml:space="preserve">19. In the present case, the parties are simultaneously active in the downstream market for the retail distribution of agro-supply products intended for land cultivation.  </w:t>
        <w:br/>
        <w:t xml:space="preserve">1. PRODUCT MARKETS  </w:t>
        <w:br/>
        <w:t xml:space="preserve">20. In terms of agro-supply intended for land cultivation, decision-making practice distinguishes the segments of seed distribution, fertilizer distribution, phytosanitary product distribution, distribution of other agricultural equipment, and even distribution of amendments, while emphasizing the existence of a strong substitutability on the supply side, as the vast majority of distributors offer farmers these different categories of products. More specifically regarding seed distribution, the existence of a sub-segment consisting of seeds intended for organic farming is considered.  </w:t>
        <w:br/>
        <w:t xml:space="preserve">21. Decision-making practice retains, for each family of products, a segmentation based on the type of crops, notably distinguishing market gardening from mixed farming. Furthermore, it considers the existence of a distinct market for the distribution of products for vineyards, including segments for vine trellising equipment, oenology equipment, packaging equipment, fertilizers, and phytosanitary products.  </w:t>
        <w:br/>
        <w:t xml:space="preserve">22. The Authority, on the other hand, has deemed that there is no need to segment by distribution channel, as traders and cooperatives provide farmers with a similar offering.  </w:t>
        <w:br/>
        <w:t>23. In this case, both parties distribute agro-supply products intended for mixed farming. More specifically, they are simultaneously active in the distribution of fertilizers, amendments, phytosanitary products, and seeds, of both organic and non-organic origin.</w:t>
      </w:r>
    </w:p>
    <w:p>
      <w:r>
        <w:rPr>
          <w:b/>
        </w:rPr>
        <w:t>[Pages 7–9]</w:t>
      </w:r>
    </w:p>
    <w:p>
      <w:r>
        <w:t>2. GEOGRAPHICAL MARKETS</w:t>
        <w:br/>
        <w:t>24. National decision-making practice recognizes a local dimension for the markets of the distribution of seeds, fertilizers, and phytosanitary products intended for farmers.</w:t>
        <w:br/>
        <w:t>25. In this case, the activities of the parties overlap in the department of Haute-Vienne (87).</w:t>
      </w:r>
    </w:p>
    <w:p>
      <w:r>
        <w:t>C. THE ANIMAL NUTRITION SECTOR</w:t>
        <w:br/>
        <w:t>26. Decision-making practice distinguishes, in the field of animal nutrition, upstream markets (products used for the formulation of animal feed) from downstream markets (feeds resulting from this formulation). The parties are only present in the downstream markets of animal nutrition.</w:t>
        <w:br/>
        <w:t>27. Decision-making practice also makes a distinction within animal nutrition between livestock animals and pets. The parties are simultaneously present in the market for animal nutrition for livestock animals.</w:t>
        <w:br/>
        <w:t>28. Downstream, national decision-making practice distinguishes the market for the manufacture and marketing of complete feeds, on the one hand, and the market for the manufacture and marketing of mineral and nutritional compound feeds, on the other hand. It has also considered the existence of a market for the manufacture and marketing of single feed (referred to as "single feed" by decision-making practice).</w:t>
        <w:br/>
        <w:t>29. Decision-making practice has recognized the existence of a distinct market for the distribution of livestock feed, bringing together feed distributors (cooperatives, traders), including manufacturers when they engage in direct sales, and farmers as buyers, to the extent that direct sales made by manufacturers exert competitive pressure on sales made by distributors, the latter adapting to the demand of farms and generally offering the same range of animal feed.</w:t>
      </w:r>
    </w:p>
    <w:p>
      <w:r>
        <w:t>30. In the present case, only Océalia manufactures and markets animal feed, complete feed and single feed, through its subsidiary Alicoop. Both parties are active in the distribution of these products. The analysis will therefore be conducted on the market for the distribution of livestock feed for horizontal effects, with the market for the manufacture and marketing of these same products being considered for vertical effects.</w:t>
      </w:r>
    </w:p>
    <w:p>
      <w:r>
        <w:t>1. THE MARKET FOR THE MANUFACTURE AND MARKETING OF COMPLETE FEED</w:t>
        <w:br/>
        <w:t>31. Decision-making practice has considered, while leaving the question open, adopting a segmentation of the market for the manufacture and marketing of complete feed based on the animal species (cattle, sheep and goats, pigs, poultry, rabbits) insofar as it appears that each type of feed is specific to the animal species for which it is intended.</w:t>
        <w:br/>
        <w:t>32. The question of the exact delimitation of the market for the manufacture and marketing of complete feed can be left open, as the conclusions of the competitive analysis remain unchanged, regardless of the segmentation hypotheses retained.</w:t>
        <w:br/>
        <w:t>33. Decision-making practice considers that these markets have a local dimension corresponding to a delivery area of 100 to 150 kilometers around the production site due to the bulky and heavy nature of the feeds concerned. Alternatively, the competitive analysis could be conducted on a single local area from the location of the most central factory when the distances separating the various production sites from each other are less than 150 kilometers, their delivery areas overlap in the same departments, and more than two-thirds of the feeds produced at these sites are delivered in a continuous area covering several departments. Finally, recent decision-making practice has retained a delivery area of 150 kilometers around the production sites.</w:t>
        <w:br/>
        <w:t>34. In this case, the analysis will be conducted over an area of 150 kilometers around the main production sites of the parties.</w:t>
      </w:r>
    </w:p>
    <w:p>
      <w:r>
        <w:t>2. THE MARKET FOR THE MANUFACTURE AND MARKETING OF SINGLE FEED</w:t>
        <w:br/>
        <w:t>35. National decision-making practice has identified a market for single feed including animal feeds made from a single base ingredient, such as soy, rapeseed, sugar beet, fish meal, or grains. European decision-making practice has also considered sub-segmenting this market based on types of ingredients (non-cereal ingredients and cereal ingredients), distribution mode (wholesale), or customers to whom the ingredients are intended (feed producers and farmers). However, the exact delimitation of the market has been left open.</w:t>
        <w:br/>
        <w:t>36. Regarding the geographical delimitation of this market, the Authority has retained at least a national dimension.</w:t>
        <w:br/>
        <w:t>37. In any case, the question of the exact delimitation of the market can be left open, as the conclusions of the competitive analysis remain unchanged, regardless of the segmentation hypothesis retained.</w:t>
      </w:r>
    </w:p>
    <w:p>
      <w:r>
        <w:t>3. THE MARKET FOR THE DISTRIBUTION OF LIVESTOCK FEED</w:t>
        <w:br/>
        <w:t>38. National decision-making practice has considered, in addition to the markets for the manufacture of livestock feed, the existence of a downstream market for the distribution of these products bringing together feed distributors (cooperatives, traders), including manufacturers when they engage in direct sales, and farmers as buyers.</w:t>
        <w:br/>
        <w:t>39. Regarding the geographical delimitation, the Authority has considered a regional dimension (in the sense of the former administrative regions) for the market for the distribution of livestock feed by cooperatives or traders to farmers, given the organization of distribution companies in this sector.</w:t>
        <w:br/>
        <w:t>40. In this case, the activities of the parties overlap in the Limousin region.</w:t>
      </w:r>
    </w:p>
    <w:p>
      <w:r>
        <w:t>D. THE RETAIL DISTRIBUTION SECTOR OF GARDENING, DIY, OUTDOOR FURNISHINGS, AND PET SUPPLIES</w:t>
        <w:br/>
        <w:t>41. The parties are simultaneously active in the retail distribution of gardening, DIY, pet supplies, and outdoor furnishings, both in the markets for the supply of gardening, DIY, pet supplies, and outdoor furnishings and in the downstream market for retail distribution. They are not present in the upstream markets for the production and marketing of gardening and pet supplies.</w:t>
      </w:r>
    </w:p>
    <w:p>
      <w:r>
        <w:t>1. THE MARKETS FOR THE SUPPLY OF GARDENING, DIY, PET SUPPLIES, AND OUTDOOR FURNISHINGS</w:t>
        <w:br/>
        <w:t>a) Product Markets</w:t>
        <w:br/>
        <w:t>42. Competition authorities usually distinguish as many markets as there are families or groups of products. The following categories have thus been distinguished:</w:t>
      </w:r>
    </w:p>
    <w:p>
      <w:r>
        <w:rPr>
          <w:b/>
        </w:rPr>
        <w:t>[Pages 10–12]</w:t>
      </w:r>
    </w:p>
    <w:p>
      <w:r>
        <w:t>- Consumer goods: (1) liquids, (2) drugstore, (3) perfumery and hygiene, (4) dry grocery, (5) parapharmacy, (6) perishable goods in self-service.</w:t>
        <w:br/>
        <w:t>- Traditional fresh: (7) delicatessen, (8) fishmonger, (9) fruits and vegetables, (10) bread and fresh pastry, (11) butcher.</w:t>
        <w:br/>
        <w:t>- Bazaar: (12) DIY, (13) home, (14) culture, (15) toys, leisure and relaxation, (16) garden, (17) automotive.</w:t>
        <w:br/>
        <w:t>- Household appliances, photo, cinema and sound: (18) large household appliances, (19) small household appliances, (20) photo and cinema, (21) hi-fi and sound, (22) TV and video.</w:t>
        <w:br/>
        <w:t>43. In this case, the parties are simultaneously present, as buyers, in the product families of bazaar goods (garden, DIY), consumer goods (dry grocery), and textiles.</w:t>
        <w:br/>
        <w:t>44. In the aforementioned Carrefour/Promodès decision, the European Commission did not exclude, in the food-dominated retail sector, that "some of these product groups may still need to be segmented."39 It recalled in this regard that "the delimitation of the market is generally made from the perspective of the other party present in the market, in this case, the supplier/producer. The degree of flexibility in modifying the suppliers' offerings and the existence of alternative outlets for them are determining factors in the analysis. Generally speaking, producers manufacture specific products or groups of products and are not able to easily switch to the production of other products."40 Thus, a plant producer, for example, cannot quickly start producing gardening equipment without considerable investments and the acquisition of additional know-how. In this regard, the Competition Authority has deemed it impossible to consider a single market for the supply of gardening articles.41</w:t>
        <w:br/>
        <w:t>45. In this case, the parties are simultaneously present, as buyers, in the following product groups, segments, and sub-segments: garden, other garden articles, plants (through specialized distribution channels), DIY, decoration, dry grocery, and textiles.</w:t>
        <w:br/>
        <w:t>b) Geographic Markets</w:t>
        <w:br/>
        <w:t>46. Competition authorities consider that these markets, delineated by major product groups, are of national dimension.42</w:t>
        <w:br/>
        <w:t>47. The Competition Authority considers that, regardless of the segment retained, the markets for the supply of gardening articles, DIY, pet supplies, and outdoor furnishings are of national dimension. There is no need to challenge this segmentation within the framework of the present operation.</w:t>
        <w:br/>
        <w:t>39 See the Commission decision COMP/M.1684, cited above.</w:t>
        <w:br/>
        <w:t>40 Ibid.</w:t>
        <w:br/>
        <w:t>41 See the Authority's decision n° 18-DCC-148 of August 24, 2018, regarding the exclusive control of the company Jardiland by the company InVivo Retail.</w:t>
        <w:br/>
        <w:t>42 See in particular the decisions of the Commission COMP/M.1684 and M.2115 and the Authority n° 10-DCC-144 and n° 18-DCC-148, cited above.</w:t>
      </w:r>
    </w:p>
    <w:p>
      <w:r>
        <w:t>2. THE DOWNSTREAM MARKET FOR DISTRIBUTION</w:t>
        <w:br/>
        <w:t>a) Product Market</w:t>
        <w:br/>
        <w:t>48. In its decision-making practice,43 the Competition Authority retains a market composed of agricultural self-services, garden centers, large DIY stores (GSB), and large food stores (GSA) to the extent that, for the latter two categories, they have "garden center" spaces.</w:t>
        <w:br/>
        <w:t>49. To take into account the existence of a more limited offer, and in accordance with the decision-making practice of the Competition Authority, only GSAs and GSBs with a sales area dedicated to gardening articles exceeding 300 m² have been considered in the competitive analysis.</w:t>
        <w:br/>
        <w:t>b) Geographic Market</w:t>
        <w:br/>
        <w:t>50. In the retail distribution sector through physical stores, competition operates, from the consumer's perspective, primarily at the local level, on markets whose size varies depending on the type of products concerned and the attractiveness of the stores.</w:t>
        <w:br/>
        <w:t>51. Regarding the distribution of gardening articles, DIY, pet supplies, and outdoor furnishings, the Competition Authority considers that consumers are willing to make a car trip lasting 20 minutes to reach a store and compare products and prices from one brand to another.44</w:t>
        <w:br/>
        <w:t>52. To avoid creating a threshold effect by excluding from its analysis points of sale located on the margins of defined areas, the Competition Authority generally takes into account the competition from points of sale located immediately at the edge of the area, within an additional driving time of about two minutes.45</w:t>
        <w:br/>
        <w:t>53. The competitive analysis was conducted on isochrone areas46 of 20 minutes by car around Gamm Vert points of sale, integrating a two-minute border.</w:t>
        <w:br/>
        <w:t>54. In this case, the activities of the parties overlap in the areas of Chabanais and Saint-Junien (87).</w:t>
        <w:br/>
        <w:t>43 See the letters from the Minister in charge of the economy C2007-129 of January 21, 2008, to the legal advisors of the company Terrena regarding a concentration in the sector of distribution of gardening, DIY, and agricultural products, and the decisions of the Authority n° 18-DCC-148 of August 24, 2018, regarding the exclusive control of the company Jardiland by the company InVivo Retail and n° 19-DCC-147 cited above.</w:t>
        <w:br/>
        <w:t>44 See the letters from the Minister in charge of the economy C2007-129 and C2008-94 cited above, as well as the decisions of the Authority n° 09-DCC-90, n° 12-DCC-49, and n° 15-DCC-34 cited above.</w:t>
        <w:br/>
        <w:t>45 See in particular the decisions of the Authority n° 13-DCC-90 of July 11, 2013, regarding the exclusive control of the company Monoprix by the company Casino Guichard-Perrachon, and n° 15-DCC-05 of January 28, 2015, regarding the exclusive control of 43 business assets held by the company Clin d’Œil by the company Nocibé France Distribution SAS.</w:t>
        <w:br/>
        <w:t>46 An isochrone area is a geographical area delineated from a store (generally the target) based on either a driving time or a distance.</w:t>
      </w:r>
    </w:p>
    <w:p>
      <w:r>
        <w:rPr>
          <w:b/>
        </w:rPr>
        <w:t>[Pages 13–15]</w:t>
      </w:r>
    </w:p>
    <w:p>
      <w:r>
        <w:t>60. In the departments of Charente (16), Creuse (23), and Dordogne (24), the addition of market share related to the operation is minimal (less than 0.2%), such that the operation is not likely to alter the existing market structure and is therefore not likely to harm competition through horizontal effects.</w:t>
      </w:r>
    </w:p>
    <w:p>
      <w:r>
        <w:t>61. In the department of Haute-Vienne (87), the new entity will hold, following the operation, a market share of [40-50] %, with an addition of market share of [20-30] %. In this department, the new entity will face numerous competitors with collection points, such as Néolis, Agri Conseil, Agricentre Dumas, Altitude, Béchade, Agro Service 2000. An analysis of market shares at the local level allows for a better assessment of the market structure in this department.</w:t>
      </w:r>
    </w:p>
    <w:p>
      <w:r>
        <w:t>ii. At the local level</w:t>
      </w:r>
    </w:p>
    <w:p>
      <w:r>
        <w:t>62. In the department of Haute-Vienne (87), only Natéa holds collection points. The 9 areas defined by a radius of 45 km around these collection points have been identified by the notifying party to conduct the competitive analysis at the local level.</w:t>
      </w:r>
    </w:p>
    <w:p>
      <w:r>
        <w:t>Océalia Natéa New entity</w:t>
        <w:br/>
        <w:t>Collection of COP</w:t>
        <w:br/>
        <w:t>Infrastructure Market Share Infrastructure Market Share Infrastructure Market Share</w:t>
        <w:br/>
        <w:t>Chalus […] [10-20]% […] [20-30]% […] [40-50]%</w:t>
        <w:br/>
        <w:t>Eparou […] [10-20]% […] [40-50]% […] [60-70]%</w:t>
        <w:br/>
        <w:t>Flavignac […] [0-5]% […] [30-40]% […] [30-40]%</w:t>
        <w:br/>
        <w:t>Le Dorat […] [10-20]% […] [40-50]% […] [50-60]%</w:t>
        <w:br/>
        <w:t>Magnac-Laval […] [5-10]% […] [40-50]% […] [50-60]%</w:t>
        <w:br/>
        <w:t>Mézières […] [20-30]% […] [30-40]% […] [60-70]%</w:t>
        <w:br/>
        <w:t>Saint-Junien […] [20-30]% […] [20-30]% […] [50-60]%</w:t>
        <w:br/>
        <w:t>Arnac-la-Poste […] [5-10]% […] [50-60]% […] [60-70]%</w:t>
        <w:br/>
        <w:t>Bellac […] [10-20]% […] [40-50]% […] [50-60]%</w:t>
      </w:r>
    </w:p>
    <w:p>
      <w:r>
        <w:t>1° Chalus Area</w:t>
      </w:r>
    </w:p>
    <w:p>
      <w:r>
        <w:t>63. In the Chalus area, Océalia holds […] collection points, and Natéa holds […]. In total, the new entity has [40-50] % of the collection points. Following the operation, the new entity will still face competitive pressure from several other cooperatives collecting COP, such as La Périgourdine ([10-20] % market share) and Convertgence ([0-5] % market share) which together have […] collection points.</w:t>
      </w:r>
    </w:p>
    <w:p>
      <w:r>
        <w:t>64. It follows from the above that the operation is not likely to harm competition in the Chalus area through horizontal effects.</w:t>
      </w:r>
    </w:p>
    <w:p>
      <w:r>
        <w:t>2° Eparou Area</w:t>
      </w:r>
    </w:p>
    <w:p>
      <w:r>
        <w:t>65. In the Eparou area, Océalia holds […] collection points, and Natéa holds […]. In total, the new entity has [60-70] % of the collection points. Following the operation, the new entity will still face competitive pressure from several other cooperatives collecting COP, such as Terrena ([10-20] % market share) and Néolis ([5-10] % market share) which together have […] collection points.</w:t>
      </w:r>
    </w:p>
    <w:p>
      <w:r>
        <w:t>66. It follows from the above that the operation is not likely to harm competition in the Eparou area through horizontal effects.</w:t>
      </w:r>
    </w:p>
    <w:p>
      <w:r>
        <w:t>3° Flavignac Area</w:t>
      </w:r>
    </w:p>
    <w:p>
      <w:r>
        <w:t>67. In the Flavignac area, Océalia holds […] collection point, and Natéa holds [confidential]. In total, the new entity has [30-40] % of the collection points. Following the operation, the new entity will still face competitive pressure from several other cooperatives collecting COP, such as La Périgourdine ([5-10] % market share) and Agricentre Dumas ([0-5] % market share) which together have […] collection points.</w:t>
      </w:r>
    </w:p>
    <w:p>
      <w:r>
        <w:t>68. It follows from the above that the operation is not likely to harm competition in the Flavignac area through horizontal effects.</w:t>
      </w:r>
    </w:p>
    <w:p>
      <w:r>
        <w:t>4° Dorat Area</w:t>
      </w:r>
    </w:p>
    <w:p>
      <w:r>
        <w:t>69. In the Dorat area, Océalia holds […] collection points, and Natéa holds […]. In total, the new entity has [50-60] % of the collection points. Following the operation, the new entity will still face competitive pressure from several other cooperatives collecting COP, such as Terrena ([20-30] % market share) and Néolis ([5-10] % market share) which together have […] collection points.</w:t>
      </w:r>
    </w:p>
    <w:p>
      <w:r>
        <w:t>70. It follows from the above that the operation is not likely to harm competition in the Dorat area through horizontal effects.</w:t>
      </w:r>
    </w:p>
    <w:p>
      <w:r>
        <w:t>5° Magnac-Laval Area</w:t>
      </w:r>
    </w:p>
    <w:p>
      <w:r>
        <w:t>71. In the Magnac-Laval area, Océalia holds […] collection points, and Natéa holds […]. In total, the new entity has [50-60] % of the collection points. Following the operation, the new entity will still face competitive pressure from several other cooperatives collecting COP, such as Terrena ([20-30] % market share) and Néolis ([5-10] % market share) which together have […] collection points.</w:t>
      </w:r>
    </w:p>
    <w:p>
      <w:r>
        <w:t>72. It follows from the above that the operation is not likely to harm competition in the Magnac-Laval area through horizontal effects.</w:t>
      </w:r>
    </w:p>
    <w:p>
      <w:r>
        <w:t>6° Mézières Area</w:t>
      </w:r>
    </w:p>
    <w:p>
      <w:r>
        <w:t>73. In the Mézières area, Océalia holds […] collection points, and Natéa holds […]. In total, the new entity has [60-70] % of the collection points. Following the operation, the new entity will still face competitive pressure from several other cooperatives collecting COP, such as Néolis ([10-20] % market share) and Terrena ([10-20] % market share) which together have […] collection points.</w:t>
      </w:r>
    </w:p>
    <w:p>
      <w:r>
        <w:t>74. It follows from the above that the operation is not likely to harm competition in the Mézières area through horizontal effects.</w:t>
      </w:r>
    </w:p>
    <w:p>
      <w:r>
        <w:t>7° Saint-Junien Area</w:t>
      </w:r>
    </w:p>
    <w:p>
      <w:r>
        <w:t>75. In the Saint-Junien area, Océalia holds […] collection points, and Natéa holds 8. In total, the new entity has [50-60] % of the collection points. Following the operation, the new entity will still face competitive pressure from several other cooperatives collecting COP, such as Agri Conseil ([5-10] % market share) and Moulin des Ribières ([0-5] % market share) which together have […] collection points.</w:t>
      </w:r>
    </w:p>
    <w:p>
      <w:r>
        <w:t>76. It follows from the above that the operation is not likely to harm competition in the Saint-Junien area through horizontal effects.</w:t>
      </w:r>
    </w:p>
    <w:p>
      <w:r>
        <w:t>8° Arnac-la-Poste Area</w:t>
      </w:r>
    </w:p>
    <w:p>
      <w:r>
        <w:t>77. In the Arnac-la-Poste area, Océalia holds […] collection point (a silo with a capacity of […] tons), and Natéa holds […] (including […] platforms, a silo of […] tons, a silo of […] tons, a silo of […] tons, and a silo of […] tons). In total, the new entity has [60-70] % of the collection points. Following the operation, the new entity will still face competitive pressure from five other cooperatives collecting COP, which together have […] collection points: Néolis ([10-20] % market share with a silo having a capacity of […] tons and a platform), Terrena ([10-20] % market share with [confidential] silos, each having a capacity of […] tons), Agro Service 2000 ([5-10] % market share with a platform), Thimmonier ([5-10] % market share with a platform), and Agricentre Dumas ([5-10] % market share with a silo having a capacity of […] tons).</w:t>
      </w:r>
    </w:p>
    <w:p>
      <w:r>
        <w:t>78. Furthermore, among the competitors, three collection points (belonging to Néolis and Agricentre Dumas) are located within a radius of 15 kilometers around Natéa's collection point, and will therefore exert particularly strong competitive pressure on the target's collection point.</w:t>
      </w:r>
    </w:p>
    <w:p>
      <w:r>
        <w:t>79. It follows from the above that the operation is not likely to harm competition in the Arnac-la-Poste area through horizontal effects.</w:t>
      </w:r>
    </w:p>
    <w:p>
      <w:r>
        <w:t>9° Bellac Area</w:t>
      </w:r>
    </w:p>
    <w:p>
      <w:r>
        <w:t>80. In the Bellac area, Océalia holds […] collection points, and Natéa holds […]. In total, the new entity has [50-60] % of the collection points. Following the operation, the new entity will still face competitive pressure from several other cooperatives collecting COP, such as Terrena ([10-20] % market share) and Agricentre Dumas ([5-10] % market share) which together have […] collection points.</w:t>
      </w:r>
    </w:p>
    <w:p>
      <w:r>
        <w:t>81. It follows from the above that the operation is not likely to harm competition in the Bellac area through horizontal effects.</w:t>
      </w:r>
    </w:p>
    <w:p>
      <w:r>
        <w:t>b) The downstream market for the marketing of cereals, protein crops, and oilseeds</w:t>
      </w:r>
    </w:p>
    <w:p>
      <w:r>
        <w:t>82. In the downstream market for the marketing of COP, the parties market their COP to the extent of 70 % to trading actors, and to the extent of 30 % to industrial actors.</w:t>
      </w:r>
    </w:p>
    <w:p>
      <w:r>
        <w:t>83. In the segment of marketing to trading actors, the market share of the new entity will remain below 6 %, regardless of the segmentation considered.</w:t>
      </w:r>
    </w:p>
    <w:p>
      <w:r>
        <w:t>84. In the segment of marketing to industrial actors, the market share of the new entity will remain below 1 %, regardless of the segmentation considered.</w:t>
      </w:r>
    </w:p>
    <w:p>
      <w:r>
        <w:t>85. Given these limited market shares, the operation is not likely to harm competition through horizontal effects in the markets for the marketing of COP, regardless of the segmentation considered.</w:t>
      </w:r>
    </w:p>
    <w:p>
      <w:r>
        <w:rPr>
          <w:b/>
        </w:rPr>
        <w:t>[Pages 16–18]</w:t>
      </w:r>
    </w:p>
    <w:p>
      <w:r>
        <w:t>2. MARKETS FOR AGRICULTURAL SUPPLIES</w:t>
        <w:br/>
        <w:t>86. The parties engage in the distribution of agricultural supply products intended for mixed farming. Their activities overlap in the department of Haute-Vienne (87).</w:t>
        <w:br/>
        <w:t>Department of Haute-Vienne (87) Océalia Natéa New entity</w:t>
        <w:br/>
        <w:t>Distribution of agricultural supply products [10-20] % [30-40] % [40-50] %</w:t>
        <w:br/>
        <w:t>Distribution of fertilizers [5-10] % [20-30] % [30-40] %</w:t>
        <w:br/>
        <w:t>Distribution of amendments [5-10] % [30-40] % [40-50] %</w:t>
        <w:br/>
        <w:t>Distribution of plant protection products [10-20] % [50-60] % [70-80] %</w:t>
        <w:br/>
        <w:t>Distribution of non-organic seeds [20-30] % [40-50] % [60-70] %</w:t>
        <w:br/>
        <w:t>Distribution of organic seeds [5-10] % [50-60]% [50-60] %</w:t>
        <w:br/>
        <w:t>87. When the market shares of the new entity are below 25% following the operation, the Authority generally presumes that the operation does not harm competition.47</w:t>
        <w:br/>
        <w:t>88. Following the operation, the new entity will have market shares exceeding 25% in the markets for fertilizers ([30-40] %), amendments ([40-50] %), plant protection products ([70-80] %), non-organic seeds ([60-70] %), and organic seeds ([50-60] %).</w:t>
        <w:br/>
        <w:t>89. In any case, the current statutes of the parties do not impose any obligation on the member farmer to procure all the needs for the productions for which they have committed to supply. When questioned during a market test, the member farmers of the parties confirmed this freedom of supply.</w:t>
        <w:br/>
        <w:t>90. Furthermore, the competitors of the parties indicate that the distribution of agricultural supply products is not subject to specific supply and storage constraints. Thus, in the event of a price increase by the new entity on agricultural supply products leading to a shift in demand towards the competitors of the parties, all competitors responding to the market test estimated that they would be able to meet an increasing demand (50% and more) quickly (within a month48).</w:t>
        <w:br/>
        <w:t>91. It follows from the above that the operation is not likely to harm competition through horizontal effects in the various segments of the market for the distribution of agricultural supply products intended for mixed farming in the department of Haute-Vienne.</w:t>
      </w:r>
    </w:p>
    <w:p>
      <w:r>
        <w:t>3. MARKETS FOR ANIMAL NUTRITION</w:t>
        <w:br/>
        <w:t>92. Regarding the markets for the distribution of livestock feed in Limousin, the new entity will have, following the operation, a cumulative market share of [10-20] %, with an additional market share of less than 1%.</w:t>
        <w:br/>
        <w:t>93. The operation is therefore not likely to harm competition through horizontal effects in the markets for animal nutrition.</w:t>
        <w:br/>
        <w:t>47 See the Guidelines of the Competition Authority regarding merger control, point 209.</w:t>
        <w:br/>
        <w:t>48 Except for organic seeds, which require a supply time of 3 months to 1 year.</w:t>
      </w:r>
    </w:p>
    <w:p>
      <w:r>
        <w:t>4. MARKETS FOR THE RETAIL DISTRIBUTION OF GARDENING, DIY, AND OUTDOOR LIVING ITEMS</w:t>
        <w:br/>
        <w:t>a) Markets for the supply of gardening, DIY, pet care, and outdoor living items</w:t>
        <w:br/>
        <w:t>94. Regardless of the delimitation considered by decision-making practice, the new entity will not hold, following the operation, more than 2% market share in the markets for the supply of gardening, DIY, pet care, and outdoor living items.</w:t>
        <w:br/>
        <w:t>95. The operation is therefore not likely to harm competition through horizontal effects in these markets.</w:t>
      </w:r>
    </w:p>
    <w:p>
      <w:r>
        <w:t>b) Downstream markets for the retail distribution of gardening, DIY, pet care, and outdoor living items</w:t>
        <w:br/>
        <w:t>96. In the markets for the retail distribution of gardening, DIY, pet care, and outdoor living items, the activities of the parties overlap in the areas of Saint-Junien and Chabanais, where they operate stores under the Gamm Vert and Gamm Vert Village brands. In these areas, the new entity will hold, following the operation, a maximum cumulative market share of [20-30] %.</w:t>
        <w:br/>
        <w:t>97. In its decision No. 17-DCC-139 of August 25, 2017, regarding the exclusive control of the companies Terrena Grand Public and Agralys Distribution by InVivo Retail, the Authority considered that the operation was not likely to harm competition through horizontal effects as it found that “[the franchised stores under the Gamm Vert and Gamm Vert Village brands] involved in the operation did not have sufficient commercial autonomy prior to the operation for it to significantly alter the competitive structure in the catchment areas of the target stores.” (§.25 of the aforementioned decision).</w:t>
        <w:br/>
        <w:t>98. The franchise agreements for Gamm Vert and Gamm Vert Village of the stores involved in the operation are similar to those analyzed in this decision, so it can be considered that the notifying parties' stores do not have commercial autonomy with respect to their franchisor.</w:t>
        <w:br/>
        <w:t>99. Consequently, the operation will not alter the competitive structure in the areas of Saint-Junien and Chabanais. It is therefore not likely to harm competition through horizontal effects in the markets for the retail distribution of gardening, DIY, pet care, and outdoor living items.</w:t>
      </w:r>
    </w:p>
    <w:p>
      <w:r>
        <w:t>B. VERTICAL EFFECTS</w:t>
        <w:br/>
        <w:t>100.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Decision-making practice generally rules out lock-in risks when the market share of the entity resulting from the operation in the relevant markets does not exceed 30%.</w:t>
        <w:br/>
        <w:t>101. In this case, such effects must be examined in the markets for cereals, oilseeds, and protein crops where the new entity will be present in both upstream and downstream markets.</w:t>
        <w:br/>
        <w:t>102. In the markets for cereals, oilseeds, and protein crops, in the collection market, the market shares of the parties are [40-50] % in the department of Haute-Vienne (87) where Océalia and Natéa are simultaneously active.</w:t>
        <w:br/>
        <w:t>103. In contrast, the position of the new entity will be weak in the various segments of the downstream market for the marketing of cereals, oilseeds, and protein crops, which is of national dimension. Its cumulative market share will indeed be less than [5-10] % for the cereals, oilseeds, and protein crops where Océalia and Natéa are simultaneously present.</w:t>
        <w:br/>
        <w:t>104. Thus, given its low market shares in the downstream markets for the marketing of COP, it is unlikely that the new entity will have a means of locking in the markets. Furthermore, the competitors of the parties in the national marketing market will be able to access the collection markets through the competitors of the new entity active in the relevant departments, with competition remaining sufficient after the operation, including in Haute-Vienne, but also across all other French departments. Moreover, given the reduced weight of the new entity in the various segments of the downstream market, its local competitors in the collection of cereals, protein crops, and oilseeds will retain the ability to market the products they collect to its competitors in this market.</w:t>
        <w:br/>
        <w:t>105. It is also necessary to examine potential vertical effects due to the presence of the parties in the market for the retail distribution of livestock feed on the one hand, and Océalia in the markets for the manufacture and marketing of animal feed, on the other hand, as these markets present a vertical link.</w:t>
        <w:br/>
        <w:t>106. The market shares of Océalia are below 5% in the market for the manufacture and marketing of single feed, regardless of the segment considered.</w:t>
        <w:br/>
        <w:t>107. In the market for the manufacture and marketing of complete feed, Océalia, through its subsidiary Alicoop, has 5 production sites: Pamproux (Deux-Sèvres, 79), Civray (Vienne, 86), Pas de Jeu (Deux-Sèvres 79), Maillezais (Vendée, 85), Parsac (Creuse, 23). The parties provided market shares for the areas within 150 kilometers around the 2 production sites of Pamproux and Parsac as the 150-kilometer area around the Pamproux production site encompasses the delivery areas of the Civray, Pas de Jeu, and Maillezais sites. These market shares reach [50-60] % in the 150-kilometer area around the Pamproux factory for sheep and goats. Nevertheless, despite these locally high market shares, due to the limited presence of the parties in the downstream market for the retail distribution of livestock feed (market share below 12% with an addition related to the operation of less than 1%), the operation does not significantly alter the vertical links between these markets.</w:t>
        <w:br/>
        <w:t>108. Consequently, any risk of vertical effect related to the operation can be ruled out.</w:t>
      </w:r>
    </w:p>
    <w:p>
      <w:r>
        <w:rPr>
          <w:b/>
        </w:rPr>
        <w:t>[Pages 19–20]</w:t>
      </w:r>
    </w:p>
    <w:p>
      <w:r>
        <w:t>C. CONGLOMERATE EFFECTS</w:t>
      </w:r>
    </w:p>
    <w:p>
      <w:r>
        <w:t>109. A concentration has conglomerate effects when the new entity extends or strengthens its presence in several markets whose connectivity may allow it to increase its market power. While conglomerate concentrations can generate pro-competitive synergies, some may nonetheless produce restrictive effects on competition when they allow for the technical or commercial tying of the sales or purchases of the components of the grouping in a way that locks the market and excludes competitors. As with the analysis of vertical effects, decision-making practice generally dismisses the risks of conglomerate effects when the market share of the entity resulting from the operation in the relevant markets does not exceed 30%.</w:t>
      </w:r>
    </w:p>
    <w:p>
      <w:r>
        <w:t>110. In the present case, Océalia and Natéa are simultaneously present in the markets for the collection of cereals, protein crops, and oilseeds, as well as in several retail distribution markets for agricultural supply products, in the department of Haute-Vienne (87), where the market share of the new entity exceeds 30%. There is a connectivity between these markets in that they involve the same actors: in the first, farmers sell their harvests to cooperatives; in the second, they act as buyers of seeds, fertilizers, and phytosanitary products from the cooperative network. Similarly, for farmers who own both livestock and land, there is a link of connectivity between the markets for the distribution of livestock feed, the retail distribution markets for agricultural supply products, and the markets for the collection of cereals, oilseeds, and protein crops. The parties could theoretically tie their sales or purchases commercially across these different markets, for example, by conditioning the purchase of the harvests produced by farmers on a prior obligation for them to purchase their inputs for crops from its distribution network.</w:t>
      </w:r>
    </w:p>
    <w:p>
      <w:r>
        <w:t>111. However, it is unlikely that the operation poses such a risk.</w:t>
      </w:r>
    </w:p>
    <w:p>
      <w:r>
        <w:t>112. Indeed, firstly, in the segments of the animal nutrition market identified by the Authority in its previous decisions (both upstream and downstream), the new entity will hold a market share of less than 30%.</w:t>
      </w:r>
    </w:p>
    <w:p>
      <w:r>
        <w:t>113. Consequently, any risk of conglomerate effect resulting from the operation, which would be linked to the position of the new entity in the various segments of the animal nutrition market, can be dismissed.</w:t>
      </w:r>
    </w:p>
    <w:p>
      <w:r>
        <w:t>114. Secondly, in the markets for the collection of cereals, oilseeds, and protein crops, and for the distribution of agricultural supply products, in the department of Haute-Vienne, the market share of the new entity will exceed 30% in the market for the collection of cereals, protein crops, and oilseeds, and in the retail distribution market for phytosanitary products. It will also exceed 50% in the segments for fertilizers and amendments.</w:t>
      </w:r>
    </w:p>
    <w:p>
      <w:r>
        <w:t>115. However, as previously explained, the new entity will face competition from significant alternative players in these two markets, notably Agricentre Dumas, Agriconseil, Altitude, or Béchade.</w:t>
      </w:r>
    </w:p>
    <w:p>
      <w:r>
        <w:t>116. Furthermore, most competitors active in the area concerned are also present in each of the markets that could be subject to tied sales/purchases: indeed, the cooperatives mentioned earlier that engage in both retail distribution of agricultural supply products and collection of COP in the department of Haute-Vienne. These competitors thus have the means to thwart any potential market-locking strategy by the new entity.</w:t>
      </w:r>
    </w:p>
    <w:p>
      <w:r>
        <w:t>117. Finally, given the statutes and internal regulations of the new entity, the associated farmers are free to source and deliver their harvest to the cooperative of their choice. Moreover, according to the notifying party, there is no exclusivity obligation on the cooperative members, both concerning the collection of cereals, oilseeds, and protein crops, and the supply of agricultural supply products.</w:t>
      </w:r>
    </w:p>
    <w:p>
      <w:r>
        <w:t>118. In light of the above, any risk of harm to competition through conglomerate effects can be dismissed.</w:t>
      </w:r>
    </w:p>
    <w:p>
      <w:r>
        <w:t>DECIDES</w:t>
      </w:r>
    </w:p>
    <w:p>
      <w:r>
        <w:t>Sole Article: The operation notified under number 19-186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