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https://www.autoritedelaconcurrence.fr/fr/decision-de-controle-des-concentrations/relative-la-fusion-entre-les-cooperatives-charentes</w:t>
      </w:r>
    </w:p>
    <w:p>
      <w:r>
        <w:t>Pages translated : 19</w:t>
      </w:r>
    </w:p>
    <w:p/>
    <w:p>
      <w:r>
        <w:rPr>
          <w:b/>
        </w:rPr>
        <w:t>[Pages 1–3]</w:t>
      </w:r>
    </w:p>
    <w:p>
      <w:r>
        <w:t xml:space="preserve">FRENCH REPUBLIC  </w:t>
        <w:br/>
        <w:t xml:space="preserve">Decision No. 16-DCC-13 of January 29, 2016  </w:t>
        <w:br/>
        <w:t xml:space="preserve">regarding the merger between the cooperatives  </w:t>
        <w:br/>
        <w:t>Charentes Alliance and Corea</w:t>
      </w:r>
    </w:p>
    <w:p>
      <w:r>
        <w:t xml:space="preserve">The Competition Authority,  </w:t>
        <w:br/>
        <w:t xml:space="preserve">Having regard to the notification file submitted in full to the concentrations service on December 23, 2015, regarding the merger of the cooperatives Charentes Alliance and Corea, formalized by a merger project dated October 22,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Charentes Alliance, resulting from the merger in 2009 of the Charente Cooperative and the Syntéane cooperative1, is an agricultural cooperative with 5,000 associated farmers primarily located in the departments of Charente, Charente-Maritime, and Dordogne. It also operates in the departments of Deux-Sèvres, Vienne, and Haute-Vienne. Charentes Alliance's main activities include the marketing to its cooperative members of agricultural supply products (animal feed, raw materials for the production of animal feed, agricultural supplies intended for mixed farming and vineyards), the collection, purchase, and resale of cereals, protein crops, and oilseeds, as well as the multiplication, production, and marketing of seeds. It also develops ancillary activities in the distribution of gardening, DIY, and outdoor improvement products, the collection, purchase, and resale of popcorn corn productions, the harvesting, purchase, and resale of vineyard productions from cooperative members, as well as the transport of bulk heavy goods.  </w:t>
        <w:br/>
        <w:t>1 Merger authorized by the decision of the Competition Authority No. 09-DCC-90 of December 29, 2009.</w:t>
      </w:r>
    </w:p>
    <w:p>
      <w:r>
        <w:t xml:space="preserve">2. Corea is an agricultural cooperative with 4,557 associated farmers located in the departments of Charente, Charente-Maritime, and Deux-Sèvres. It also operates in the departments of Vienne and Haute-Vienne. Its activity consists of the collection of cereals, protein crops, and oilseeds, the supply of agricultural supply products, multiplication, and the production and marketing of seeds. It also engages in activities related to the supply of raw materials for animal feed, the marketing of these feeds, the recycling of cereal waste, and the transformation of slurry into heat and electricity.  </w:t>
        <w:br/>
        <w:t xml:space="preserve">3. The operation, formalized by a merger agreement dated October 22, 2015, concerns the merger by absorption of Charentes Alliance by Corea. As it results in the merger of previously independent companies, the operation constitutes a concentration within the meaning of Article L.430-1 of the Commercial Code.  </w:t>
        <w:br/>
        <w:t>4. The concerned companies together achieve a total worldwide turnover of more than 150 million euros (Charentes Alliance: […] million euros for the fiscal year ending June 30, 2015; Corea: […] million euros for the same fiscal year). At least two of these companies generate a turnover in France exceeding 50 million euros (Charentes Alliance: […] million euros for the fiscal year ending June 30, 2015; Corea: […]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The parties are simultaneously present in the markets for the distribution of agricultural supply products (A), the collection and marketing of cereals, protein crops, and oilseeds (B), the manufacture and marketing of animal nutrition products (C), and the production and marketing of seeds (D) and their multiplication (E).  </w:t>
        <w:br/>
        <w:t xml:space="preserve">A. THE AGRICULTURAL SUPPLY SECTOR  </w:t>
        <w:br/>
        <w:t xml:space="preserve">1. PRODUCT MARKETS  </w:t>
        <w:br/>
        <w:t xml:space="preserve">6. In terms of agricultural supply, competition authorities distinguish the upstream market involving manufacturers as sellers and distributors or agricultural cooperatives as buyers, and the downstream market involving the latter as resellers and farmers as buyers.  </w:t>
        <w:br/>
        <w:t xml:space="preserve">7. In terms of retail distribution of agricultural supply products, national decisional practice2 has adopted a segmentation based on the type of crops, distinguishing  </w:t>
        <w:br/>
        <w:t>2 See in particular the decisions of the Competition Authority No. 10-DCC-84 of August 16, 2010, regarding the exclusive control of the Compas group by the agricultural cooperative Champagne Céréales SCA, and No. 12-DCC-104 of July 31, 2012, regarding the merger between the cooperatives Gascoval and Terres de Gascogne.</w:t>
      </w:r>
    </w:p>
    <w:p>
      <w:r>
        <w:t xml:space="preserve">including market gardening from mixed farming, and has considered the existence of a distinct market for the distribution of products for vineyards by distinguishing between vine trellising equipment, oenology equipment, packaging equipment, fertilizers, and phytosanitary products.  </w:t>
        <w:br/>
        <w:t xml:space="preserve">8. Regarding agricultural supply products intended for mixed farming, decisional practice3 distinguishes between the distribution of seeds, the distribution of fertilizers, the distribution of phytosanitary products, the distribution of other agricultural equipment, and even the distribution of soil amendments, while emphasizing the existence of a high substitutability on the supply side insofar as the vast majority of distributors offer farmers these different categories of products4. More specifically regarding the distribution of seeds, the existence of a particular segment consisting of seeds intended for organic farming has been considered.  </w:t>
        <w:br/>
        <w:t xml:space="preserve">9. The Competition Authority5, on the other hand, has deemed that there is no need to segment the market by distribution channel, as traders and cooperatives provide farmers with a similar offer. Indeed, even if significant differences between these two types of actors (status, taxation, nature of contractual relations with the farmer) may persist, these are not sufficient to justify the existence of two distinct product markets.  </w:t>
        <w:br/>
        <w:t xml:space="preserve">10. In this case, the parties operate simultaneously in the markets for the distribution of non-organic seeds, fertilizers and amendments, and phytosanitary products intended for mixed farming6. They are also active in the market for phytosanitary products intended for vineyards and vine trellising equipment.  </w:t>
        <w:br/>
        <w:t xml:space="preserve">2. GEOGRAPHICAL MARKETS  </w:t>
        <w:br/>
        <w:t xml:space="preserve">11. Regarding geographical delimitation, decisional practice7 has retained a local dimension for the markets for the marketing of agricultural supply products, with the analysis being conducted at the departmental level. For agricultural supply products outside of vineyards, a supplementary analysis may be conducted based on the distribution of the parties' points of sale and their overlapping areas in the affected departments8.  </w:t>
        <w:br/>
        <w:t xml:space="preserve">3 See in particular the decisions of the Competition Authority No. 14-DCC-129 of September 9, 2014, regarding the exclusive control of the cooperative Val Nantais by the cooperative Terrena, the decision No. 13-DCC-170 of November 20, 2013, regarding the merger-absorption of the agricultural cooperatives Epis-Centre, Epis-Sem, and Agralys by the Union of Agricultural Cooperatives Axereal, the decision No. 12-DCC-104 of July 31, 2012, regarding the merger between the cooperatives Gascoval and Terres de Gascogne, the decision No. 12-DCC-75 of June 18, 2012, regarding the exclusive control of Seveal-Union by the Vivescia group, the decision No. 10-DCC-107 of September 9, 2010, regarding the partial asset contribution of CAM 56 to Coopagri Bretagne, and the merger between Coopagri Bretagne and Union Eolys, the decision No. 10-DCC-66 of June 28, 2010, regarding the transformation of RAGT Semences into a joint venture controlled by RAGT and CAF Grains, the decision No. 10-DCC-41 of May 10, 2010, regarding the merger by absorption of the cooperatives Capafrance and Force 5 by the cooperative Océal.  </w:t>
        <w:br/>
        <w:t xml:space="preserve">4 See the decision of the Competition Authority No. 11-DCC-150 of October 10, 2001, regarding the exclusive control of the cooperative Elle-et-Vire by the cooperative group Agrial.  </w:t>
        <w:br/>
        <w:t xml:space="preserve">5 See the decision of the Competition Authority No. 11-DCC-150 cited above.  </w:t>
        <w:br/>
        <w:t xml:space="preserve">6 The parties indicate that they market an anecdotal quantity of organic cereals, protein crops, and oilseeds (approximately 0.87% of the quantities marketed at the national level).  </w:t>
        <w:br/>
        <w:t xml:space="preserve">7 See in particular the decisions of the Competition Authority No. 13-DCC-170, No. 12-DCC-104, No. 12-DCC-75, and No. 10-DCC-107 cited above.  </w:t>
        <w:br/>
        <w:t>8 See the decision of the Competition Authority No. 14-DCC-100 of July 4, 2014, regarding the exclusive control by Soufflet Agriculture of the companies comprising the Raynot Enterprise group.</w:t>
      </w:r>
    </w:p>
    <w:p>
      <w:r>
        <w:rPr>
          <w:b/>
        </w:rPr>
        <w:t>[Pages 4–6]</w:t>
      </w:r>
    </w:p>
    <w:p>
      <w:r>
        <w:t>12. The parties consider that the geographical market for agricultural supply products intended for vineyards and non-vineyards is of regional, if not national, dimension. They argue that national operators have emerged who engage in the sale of products from a single national platform. Farmers pay particular attention to the purchasing conditions of products that represent major cost items for their operations. Thus, the emergence and significant development of distance selling of agricultural supplies and the very short delivery times that result mean that the physical proximity of the distributor is no longer prioritized. According to the parties, this observation is confirmed by the establishment of sales offices by large traders in various French regions to ensure local support. Finally, the parties believe that the significant volume of products purchased by farmers now makes it impossible to buy in their cooperative stores.</w:t>
      </w:r>
    </w:p>
    <w:p>
      <w:r>
        <w:t>13. However, the question of the potential widening of the geographical delimitation of the markets for the marketing of agricultural supply products intended for farmers can be left open, insofar as, regardless of the delimitation retained, the conclusions of the analysis remain unchanged.</w:t>
      </w:r>
    </w:p>
    <w:p>
      <w:r>
        <w:t>14. In this case, the parties are simultaneously present in the departments of Charente (16), Charente-Maritime (17), Deux-Sèvres (79), and Vienne (86).</w:t>
      </w:r>
    </w:p>
    <w:p>
      <w:r>
        <w:t>B. CEREALS, PROTEINS, AND OILS</w:t>
      </w:r>
    </w:p>
    <w:p>
      <w:r>
        <w:t>15. The decisional practice distinguishes9 the upstream market for the collection of cereals, proteins, and oils by collecting organizations from the downstream market for marketing at the national and international levels by collecting organizations. Indeed, these organizations constitute a key link between production and marketing, with the mission of conditioning the product collected from the farmer, cleaning the grains, conducting quality control of the goods, creating homogeneous batches of products (for example, in terms of moisture, protein content), and constituting sufficient volumes to meet customer demand. Under these conditions, it would be extremely difficult for farmers to access the national and international markets for the marketing of cereals, oils, and proteins directly without resorting to a collecting organization.</w:t>
      </w:r>
    </w:p>
    <w:p>
      <w:r>
        <w:t>1. THE UPSTREAM MARKET FOR THE COLLECTION OF CEREALS, PROTEINS, AND OILS</w:t>
      </w:r>
    </w:p>
    <w:p>
      <w:r>
        <w:t>16. Regarding product markets, the decisional practice10 recognizes the existence of a single market for collection encompassing both cereals, proteins, and oils, as the collection silos can store all types of grains (cereals, proteins, and oils) interchangeably, with some products requiring only specific infrastructures, such as dryers for corn or sorting tools for peas. However, the vast majority of collecting companies have all the infrastructures suitable for each type of grain, allowing them to store cereals, oils, and proteins.</w:t>
      </w:r>
    </w:p>
    <w:p>
      <w:r>
        <w:t>17. Regarding geographical delimitation, the decisional practice11 considers that the collection of crops remains a local market, with competitive analysis being conducted at the departmental level, supplemented by an analysis of areas within 45 kilometers around the collection points of the concerned companies.</w:t>
      </w:r>
    </w:p>
    <w:p>
      <w:r>
        <w:t>18. The parties consider that the relevant market has a regional dimension. They explain that the vast majority of cereals, proteins, and oils can be stored directly at the farmer's premises and resold to traders, who go directly to the farmer to take delivery of the products. These competitors, who do not have collection and storage points, operate with adapted logistics (from the farmer's field directly to factories or seaports), allowing them to compete directly with the concerned companies. However, the existence of facilities or storage capacities directly at the farmer's premises is difficult to quantify due to regulations. Furthermore, the notifying parties wish to clarify that many storage organizations provide farmers with grain bins at the field edge, from which they collect the contents as soon as they are filled.</w:t>
      </w:r>
    </w:p>
    <w:p>
      <w:r>
        <w:t>19. However, the question of the potential widening of the geographical delimitation of the markets for the collection of cereals, proteins, and oils can be left open, insofar as, regardless of the delimitation retained, the conclusions of the analysis remain unchanged.</w:t>
      </w:r>
    </w:p>
    <w:p>
      <w:r>
        <w:t>20. In this case, Charentes Alliance and Corea are simultaneously active in the departments of Charente (16), Charente-Maritime (17), Deux-Sèvres (79), Vienne (86), and Haute-Vienne (87).</w:t>
      </w:r>
    </w:p>
    <w:p>
      <w:r>
        <w:t>2. THE DOWNSTREAM MARKET FOR THE MARKETING OF CEREALS, PROTEINS, AND OILS</w:t>
      </w:r>
    </w:p>
    <w:p>
      <w:r>
        <w:t>21. Regarding product markets, the decisional practice12, while leaving the question open, considers that there exists a relevant market for each type of cereals, proteins, and oils. It further distinguishes durum wheat from soft wheat on the grounds that the uses of these two cereals are different: durum wheat is used in semolina production while soft wheat is primarily used in milling and animal feed. Furthermore, the competition authorities13 have considered that it may be appropriate to distinguish segments that include only organic cereals, oils, or proteins.</w:t>
      </w:r>
    </w:p>
    <w:p>
      <w:r>
        <w:t>22. In a recent decision14, the competition authority noted that two categories of actors purchase cereals, proteins, and oils from producers: on one hand, industrial users and on the other hand, traders. It has thus been considered to distinguish the marketing market to industrial users from the trading market, which corresponds to a specific know-how and does not necessarily involve a physical delivery of goods15.</w:t>
      </w:r>
    </w:p>
    <w:p>
      <w:r>
        <w:t>23. In this case, the parties are simultaneously present in the marketing markets for the following non-organic grains16: durum wheat, soft wheat, barley, triticale, oats, sorghum, corn, rapeseed, sunflower, soybeans, peas, and fava beans.</w:t>
      </w:r>
    </w:p>
    <w:p>
      <w:r>
        <w:t>24. Regarding geographical markets, the national decisional practice17, while leaving the question open, has considered that these markets are of national, if not European, dimension.</w:t>
      </w:r>
    </w:p>
    <w:p>
      <w:r>
        <w:t>25. It has been considered18 to distinguish, in the case of durum wheat, a marketing market to industrial users of national dimension, and a marketing market to traders of at least national dimension. However, in this case, the question of the exact geographical delimitation of the market can remain open, with the competitive analysis remaining unchanged.</w:t>
      </w:r>
    </w:p>
    <w:p>
      <w:r>
        <w:t>26. There is no need to challenge these delimitations during the examination of the present operation. In this case, the analysis will be conducted at the national level.</w:t>
      </w:r>
    </w:p>
    <w:p>
      <w:r>
        <w:t>C. ANIMAL NUTRITION</w:t>
      </w:r>
    </w:p>
    <w:p>
      <w:r>
        <w:t>27. The national decisional practice19 distinguishes, in the field of animal nutrition, upstream markets (products used for the preparation of animal feed) from downstream markets (feeds resulting from this preparation). It also makes a distinction within animal feed between livestock animals and pets, a segment in which the parties are not present.</w:t>
      </w:r>
    </w:p>
    <w:p>
      <w:r>
        <w:t>28. Charentes Alliance and Corea produce raw materials for the manufacture of animal feed. Alicoop, controlled by Corea, has five manufacturing plants for livestock feed. Each party provides its respective member farmers with a distribution activity of feeds that they purchase from various suppliers.</w:t>
      </w:r>
    </w:p>
    <w:p>
      <w:r>
        <w:t>1. THE UPSTREAM MARKETS OF ANIMAL NUTRITION</w:t>
      </w:r>
    </w:p>
    <w:p>
      <w:r>
        <w:t>29. Upstream, the raw materials used to manufacture products intended for animal feed are generally the same (oilcakes, cereals, pre-mixes) depending on the species. The decisional practice has therefore considered that it is not necessary to distinguish markets specific to each type of animal. It has, however, considered that vegetable oils, cereals, oilcakes, pre-mixes ("premix"), and medicated pre-mixes could each constitute a distinct segment within the market for products intended for animal feed20.</w:t>
      </w:r>
    </w:p>
    <w:p>
      <w:r>
        <w:rPr>
          <w:b/>
        </w:rPr>
        <w:t>[Pages 7–9]</w:t>
      </w:r>
    </w:p>
    <w:p>
      <w:r>
        <w:t xml:space="preserve">30. In this case, both parties simultaneously operate in the markets for the production and marketing of cereals and oilcakes used in the preparation of animal feed.  </w:t>
        <w:br/>
        <w:t xml:space="preserve">31. The decisional practice21 has considered that the markets for the production and marketing of cereals and oilcakes used in the preparation of animal feed are markets of at least national dimension.  </w:t>
        <w:br/>
        <w:t xml:space="preserve">32. There is no reason to challenge these delimitations during the examination of the present operation. In this case, the analysis will be conducted at the national level.  </w:t>
        <w:br/>
        <w:t xml:space="preserve">2. DOWNSTREAM MARKETS OF ANIMAL NUTRITION  </w:t>
        <w:br/>
        <w:t xml:space="preserve">33. Downstream, the decisional practice22 has identified the market for the production and marketing of complete feed and the market for the production and marketing of mineral and nutritional compound feeds. It has also considered the existence of a market for the production and marketing of "single feed"23.  </w:t>
        <w:br/>
        <w:t xml:space="preserve">34. In this case, only the company Alicoop, controlled by Corea, is present in the market for the production and marketing of complete feed, for which the decisional practice has considered a segmentation based on each animal species, although this question has been left open.  </w:t>
        <w:br/>
        <w:t xml:space="preserve">35. The decisional practice considers that the markets for the production and marketing of complete feed have a local dimension, corresponding to a delivery area of 100 to 150 kilometers around the production site, due to the bulky and weighty nature of the feeds concerned. However, the question of the exact delimitation of the market has been left open.  </w:t>
        <w:br/>
        <w:t xml:space="preserve">36. In this case, Alicoop has five production sites, in the departments of Deux-Sèvres (Pamproux and Pas-de-Jeu), Creuse (Parsac), Vienne (Civray), and Vendée (Maillezais). The distances between the production sites are less than 150 kilometers (except for the Parsac site, which is 280 kilometers from Maillezais, 230 kilometers from Pas-de-Jeu, and 220 kilometers from Pamproux) and the delivery areas are overlapping. In the absence of better available data and considering the homogeneity of the marketing conditions for animal feed in this area and the short distances separating the production sites from each other, the competitive analysis will be conducted on a single local area, encompassing all the production sites concerned by the notified operation and corresponding to the regions of Poitou-Charentes, Limousin, as well as the department of Dordogne.  </w:t>
        <w:br/>
        <w:t xml:space="preserve">37. In any case, in the absence of any difficulty in the competitive analysis in this case, the question of the existence of such a distinct market and its segmentation can be left open. In this case, the analysis will be conducted at the level of the Poitou-Charentes region.  </w:t>
        <w:br/>
        <w:t xml:space="preserve">D. MARKETS FOR THE PRODUCTION AND MARKETING OF SEEDS  </w:t>
        <w:br/>
        <w:t xml:space="preserve">1. MARKETS FOR PRODUCTS  </w:t>
        <w:br/>
        <w:t xml:space="preserve">38. The market for the production and marketing of seeds corresponds to the marketing in "long circuit" to cooperatives or traders, as opposed to the short circuit (agricultural supply) through which cooperatives directly supply their member farmers with seeds.  </w:t>
        <w:br/>
        <w:t xml:space="preserve">39. In this case, Charente Alliances and Corea produce seeds that they sell, for [80-90]% of them, to farmers as part of their retail distribution activity of agricultural supply products and, for the remaining [10-20]%, to distributors (cooperatives and traders).  </w:t>
        <w:br/>
        <w:t xml:space="preserve">Segmentation between breeding and production/marketing  </w:t>
        <w:br/>
        <w:t xml:space="preserve">40. The Competition Authority has considered a segmentation24 of the seed sector according to the stages of the breeding process25 of the basic seed on the one hand, and of the production26 and marketing of commercial seeds, on the other hand.  </w:t>
        <w:br/>
        <w:t xml:space="preserve">41. However, it indicated that the relevance of this segmentation depended closely on the type of seeds. Regarding self-pollinating seeds, which are the only ones concerned by the operation, the Authority emphasized that different operators generally carry out the breeding activities, on the one hand, and the production and marketing activities, on the other hand. Thus, breeders, within the framework of licensing contracts, grant permission to producing establishments to produce and market for their own account a specified quantity of seeds (defined by seed) in exchange for the payment of a royalty.  </w:t>
        <w:br/>
        <w:t xml:space="preserve">42. In this case, the parties engage in the production/marketing of self-pollinating seeds in France.  </w:t>
        <w:br/>
        <w:t xml:space="preserve">Segmentation by species  </w:t>
        <w:br/>
        <w:t xml:space="preserve">43. Competition authorities distinguish as many relevant markets as there are species of seeds, as these are not mutually substitutable27.  </w:t>
        <w:br/>
        <w:t xml:space="preserve">44. The notifying parties believe that segmentation by species is not relevant in the case where the operators are not breeders but produce self-pollinating seeds under licensing contracts. The equipment necessary for the production of self-pollinating seeds is then almost identical for all species. However, the Competition Authority noted that the actual capacity of a cooperative to produce varied seeds was closely linked to the capacity of its network of farmers to modify a number of technical constraints that limit crop rotation. Furthermore, from the demand perspective, it cannot be argued that the different species of self-pollinating seeds are substitutable28.  </w:t>
        <w:br/>
        <w:t xml:space="preserve">45. However, the question of the delimitation of the market can be left open in this case, insofar as, regardless of the definition considered, the conclusions of the competitive analysis remain unchanged.  </w:t>
        <w:br/>
        <w:t xml:space="preserve">46. In this case, the parties are active in the market for the production and marketing of self-pollinating seeds of oats, winter barley, soft wheat, durum wheat, triticale, and spring barley.  </w:t>
        <w:br/>
        <w:t xml:space="preserve">2. GEOGRAPHICAL MARKETS  </w:t>
        <w:br/>
        <w:t xml:space="preserve">47. The European and national decisional practice29 considers that the market for the production and marketing of seeds is of national dimension. The European Commission has indeed noted that prices and supply conditions for customers differ from one Member State to another. Furthermore, it has observed that the seeds marketed are developed according to the cultivation conditions of the geographical areas to which they are intended. The Commission and the French authorities concluded that customers generally purchase seeds adapted to the requirements related to their soils and climatic conditions from producers located in their own Member State30. Nevertheless, the Commission also noted a certain "Europeanization" of the seed sector by emphasizing that certification issued by a Member State led to registration in the European catalog and allowed the free marketing of seeds in Europe.  </w:t>
        <w:br/>
        <w:t xml:space="preserve">48. In this case, the question of the geographical delimitation of the market can be left open, insofar as, regardless of the definition considered, the conclusions of the competitive analysis remain unchanged. The analysis will be conducted at the national level.  </w:t>
        <w:br/>
        <w:t xml:space="preserve">E. MARKETS FOR SEED MULTIPLICATION  </w:t>
        <w:br/>
        <w:t xml:space="preserve">1. MARKETS FOR PRODUCTS  </w:t>
        <w:br/>
        <w:t>49. The decisional practice, both European and national31, considers the existence of a market for seed multiplication, distinct from the production and marketing of seeds. Seed multiplication corresponds to the phase during which producing establishments transmit the basic seeds to farmers for their</w:t>
      </w:r>
    </w:p>
    <w:p>
      <w:r>
        <w:rPr>
          <w:b/>
        </w:rPr>
        <w:t>[Pages 10–12]</w:t>
      </w:r>
    </w:p>
    <w:p>
      <w:r>
        <w:t xml:space="preserve">will continue to source their agricultural supply products from other suppliers.  </w:t>
        <w:br/>
        <w:t xml:space="preserve">67. Enfin, la future entité sera soumise à des obligations de transparence et de non-discrimination dans ses relations avec ses associés coopérateurs, ce qui limitera davantage son pouvoir de marché.  </w:t>
        <w:br/>
        <w:t xml:space="preserve">68. En conclusion, bien que la future entité dispose d'une position de marché significative dans le département de la Charente, les éléments mentionnés ci-dessus indiquent que l'opération n'est pas de nature à porter atteinte à la concurrence sur les marchés concernés.  </w:t>
        <w:br/>
        <w:t>69. Par conséquent, l'Autorité de la concurrence conclut que l'opération notifiée peut être autorisée sans conditions.</w:t>
      </w:r>
    </w:p>
    <w:p>
      <w:r>
        <w:rPr>
          <w:b/>
        </w:rPr>
        <w:t>[Pages 13–15]</w:t>
      </w:r>
    </w:p>
    <w:p>
      <w:r>
        <w:t xml:space="preserve">are members, including Charentes Alliance or Corea, and are simultaneously members of about four or even five different cooperatives.  </w:t>
        <w:br/>
        <w:t xml:space="preserve">67. In light of the above, the operation is not likely to harm competition in the markets for the distribution of agricultural supply products intended for mixed farming.  </w:t>
        <w:br/>
        <w:t xml:space="preserve">2. MARKETS FOR THE DISTRIBUTION OF AGRICULTURAL SUPPLY PRODUCTS INTENDED FOR VINEYARDS  </w:t>
        <w:br/>
        <w:t xml:space="preserve">68. In terms of the distribution of agricultural supply products intended for vineyards, the activities of the parties overlap in the departments of Charente, Charente-Maritime, Deux-Sèvres, and Vienne. The market shares of the parties are as follows:  </w:t>
        <w:br/>
        <w:t xml:space="preserve">Products Corea Charentes Market share  </w:t>
        <w:br/>
        <w:t xml:space="preserve">Cumulative Alliance  </w:t>
        <w:br/>
        <w:t xml:space="preserve">Charente (16) Trellising equipment [0-5]% [20-30]% [20-30]%  </w:t>
        <w:br/>
        <w:t xml:space="preserve">Fertilizers [0-5]% [30-40]% [30-40]%  </w:t>
        <w:br/>
        <w:t xml:space="preserve">Phytosanitary products [0-5]% [20-30]% [20-30]%  </w:t>
        <w:br/>
        <w:t xml:space="preserve">Charente-Maritime (17) Trellising equipment [0-5]% [30-40]% [30-40]%  </w:t>
        <w:br/>
        <w:t xml:space="preserve">Fertilizers - [20-30]% [20-30]%  </w:t>
        <w:br/>
        <w:t xml:space="preserve">Phytosanitary products [0-5]% [30-40]% [30-40]%  </w:t>
        <w:br/>
        <w:t xml:space="preserve">Deux-Sèvres (79) Trellising equipment - [0-5]% -  </w:t>
        <w:br/>
        <w:t xml:space="preserve">Fertilizers - [0-5]% -  </w:t>
        <w:br/>
        <w:t xml:space="preserve">Phytosanitary products [0-5]% [0-5]% [0-5]%  </w:t>
        <w:br/>
        <w:t xml:space="preserve">Vienne (86) Trellising equipment - [0-5]% -  </w:t>
        <w:br/>
        <w:t xml:space="preserve">Fertilizers - - -  </w:t>
        <w:br/>
        <w:t xml:space="preserve">Phytosanitary products [0-5]% [10-20]% [10-20]%  </w:t>
        <w:br/>
        <w:t xml:space="preserve">69. In the departments of Deux-Sèvres and Vienne, the activities of the parties overlap only for phytosanitary products. The market share of the new entity will be less than [0-5]% in Deux-Sèvres and will be [10-20]% in Vienne, with an increment of less than [0-5]%. The operation is therefore not likely to harm competition in these two markets.  </w:t>
        <w:br/>
        <w:t xml:space="preserve">70. In the departments of Charente and Charente-Maritime, the new entity will hold a market share between [20-30]% and [30-40]% depending on the segments, except for the market for phytosanitary products in Charente. However, the increment in market share resulting from the operation is particularly low (less than [0-5]%), as the activities of the parties are primarily located in different territories.  </w:t>
        <w:br/>
        <w:t xml:space="preserve">71. In the department of Charente, the future entity will continue to face competition from several operators, notably Etablissements Piveteau (estimated market shares between [20-30]% and [20-30]%), Etablissements Fortet-Duffaud (between [10-20]% and [10-20]%), the agricultural cooperative of the Cognac region (between [10-20]% and [10-20]%), Etablissements Subin (between [5-10]% and [5-10]%), and Vitinature (between [5-10]% and [5-10]%). Similarly, in the department of Charente-Maritime, the new entity will continue to face competition notably from Etablissements Isidore (estimated market shares between [10-20]% and [10-20]%), Etablissements Fortet Duffaut (between [10-20]% and [10-20]%), Coopérative de Matha (between [10-20]% and [10-20]%), and Coopérative de Chérac (between [5-10]% and [5-10]%).  </w:t>
        <w:br/>
        <w:t xml:space="preserve">72. Therefore, given the low increment in market share and the existence of significant competition, the operation is not likely to harm competition in the markets for the distribution of agricultural supply products for vineyards.  </w:t>
        <w:br/>
        <w:t xml:space="preserve">3. MARKETS FOR THE COLLECTION OF CEREALS, PROTEINS, AND OILSEEDS  </w:t>
        <w:br/>
        <w:t xml:space="preserve">73. In the five departments where the parties are simultaneously active, the market shares of the new entity, calculated based on the volumes collected during the 2014 campaign, are as follows:  </w:t>
        <w:br/>
        <w:t xml:space="preserve">Market share  </w:t>
        <w:br/>
        <w:t xml:space="preserve">Department Corea Charentes Cumulative Alliance  </w:t>
        <w:br/>
        <w:t xml:space="preserve">Charente (16) [10-20]% [40-50]% [50-60]%  </w:t>
        <w:br/>
        <w:t xml:space="preserve">Charente-Maritime (17) [0-5]% [20-30]% [20-30]%  </w:t>
        <w:br/>
        <w:t xml:space="preserve">Deux-Sèvres (79) [20-30]% [0-5]% [20-30]%  </w:t>
        <w:br/>
        <w:t xml:space="preserve">Vienne (86) [10-20]% [0-5]% [10-20]%  </w:t>
        <w:br/>
        <w:t xml:space="preserve">Haute-Vienne (87) [5-10]% [10-20]% [20-30]%  </w:t>
        <w:br/>
        <w:t xml:space="preserve">74. At the departmental level, it appears from this table that the future entity will have a market share of less than 25% in the departments of Vienne and Haute-Vienne.  </w:t>
        <w:br/>
        <w:t xml:space="preserve">75. In the departments of Charente-Maritime and Deux-Sèvres, the new entity will have a market share between [20-30]% and [20-30]% with a moderate increment (less than [0-5]%). In these departments, the parties will continue to face competition from several operators, notably the cooperative Terre Atlantique, the trading company Soufflet, and Terrena Poitou.  </w:t>
        <w:br/>
        <w:t xml:space="preserve">76. In the department of Charente, the new entity will have a market share of [50-60]%. It will continue to face competition from the cooperative of Mansle (estimated market share between [10-20]% and [10-20]%), the company Démograins (between [5-10]% and [5-10]%), the company Piveteau et fils (between [5-10]% and [5-10]%), and several other smaller players.  </w:t>
        <w:br/>
        <w:t xml:space="preserve">77. At the local level, the activities of the parties overlap significantly at the intersection of the departments of Charente-Maritime, Charente, Deux-Sèvres, and Vienne. Specifically, in a zone of 45 kilometers around Bernac (where a collection point of Corea is located) and Ruffec (site of a silo of Charentes Alliance), Charentes Alliance and Corea have respectively [confidential] and [confidential] silos out of a total of [confidential], resulting in respective market shares of [10-20]% and [20-30]% for a cumulative market share of [40-50]%. Information provided by the notifying party indicates that this area has [confidential] silos owned by competing companies. In a zone of 45 kilometers around Mauze-sur-le-Mignon (where a collection point of Corea and a collection point of Charentes Alliance are located), Charentes Alliance and Corea have respectively [confidential] and [confidential] silos out of a total of [confidential], resulting in respective market shares of [5-10]% and [20-30]% for a cumulative market share of [20-30]%. Information provided by the notifying parties indicates that this area has [90-100] collection points owned by competing companies.  </w:t>
        <w:br/>
        <w:t xml:space="preserve">78. Several factors must, however, be taken into account to put the market shares held by the new entity after the operation into perspective, both at the departmental level and in local areas.  </w:t>
        <w:br/>
        <w:t xml:space="preserve">79. First, the notifying parties specify that in the Bernac/Ruffec area, the collection points are fewer since it is a livestock area. Consequently, the practice of on-farm storage by farmers is more developed. Furthermore, the notifying parties specify that competitors also use truck collection methods. Thus, companies that do not have storage points or sorting capacity send trucks directly to the farmer's field at harvest time or to the farm during the post-harvest period. This collection method tends to increase the operational range of collection companies, which can thus exert competitive pressure on the parties without having storage infrastructure in the area.  </w:t>
        <w:br/>
        <w:t xml:space="preserve">80. Second, the Competition Authority has had the opportunity to recall that the collection of cereals, proteins, and oilseeds in a given area can be ensured from two types of collection points: either a simple collection platform during the harvest period; or a high-performance storage silo, with facilities suitable for processing and preserving grain. It has also emphasized that the development of a simple temporary collection platform for a new entrant in a given local area does not, in itself, constitute a barrier to entry, provided that this operator also has a more efficient storage silo at a reasonable distance. However, in this case, several significant collecting organizations are located in the relevant areas:  </w:t>
        <w:br/>
        <w:t xml:space="preserve">- in the Bernac/Ruffec area, Cavac Villejésus, Lamy, Terre Atlantique, the cooperative of Mansle, and Terrena notably have silos in immediate proximity to the silos of the new entity;  </w:t>
        <w:br/>
        <w:t xml:space="preserve">- in the Mauze-sur-le-Mignon area, the cooperative of Courçon, Soufflet, and Terre Atlantique notably have silos in immediate proximity to those of the new entity.  </w:t>
        <w:br/>
        <w:t xml:space="preserve">81. Third, it should be noted that the cooperative farmers will retain the ability to sell a substantial portion of their harvests to competing organizations. Indeed, the statutes and internal regulations of the future entity provide that the quantities to be delivered to the cooperative are determined by the farmers contractually during each campaign of their production. Moreover, farmers will remain free to join other cooperatives to market their harvests. As mentioned above, the notifying parties estimate that, on average, half of the cooperative members of Charentes Alliance or Corea are members of about four or even five different cooperatives.  </w:t>
        <w:br/>
        <w:t>82. Finally, the notifying parties indicate that cooperative farmers have the option to arbitrate, depending on price offers, between the different cooperatives of which they are members.</w:t>
      </w:r>
    </w:p>
    <w:p>
      <w:r>
        <w:rPr>
          <w:b/>
        </w:rPr>
        <w:t>[Pages 16–18]</w:t>
      </w:r>
    </w:p>
    <w:p>
      <w:r>
        <w:t xml:space="preserve">are members of approximately four or even five different cooperatives.  </w:t>
        <w:br/>
        <w:t xml:space="preserve">82. Finally, the notifying parties indicate that the cooperative farmers have the possibility to arbitrate, depending on price offers, between the different cooperatives of which they are members and the trading companies present in the area, as the products are not perishable and can therefore be stored for a long period while waiting for more favorable market conditions.  </w:t>
        <w:br/>
        <w:t xml:space="preserve">83. Consequently, it follows from all these elements that the operation is not likely to harm competition in the markets for the collection of cereals, protein crops, and oilseeds.  </w:t>
        <w:br/>
        <w:t xml:space="preserve">4. IN THE SECTORS OF THE MARKETING OF CEREALS, OILSEEDS, AND PROTEIN CROPS, ANIMAL NUTRITION, AND SEEDS  </w:t>
        <w:br/>
        <w:t xml:space="preserve">84. In the markets for the marketing of cereals, oilseeds, and protein crops, animal nutrition, and the production, marketing, and multiplication of seeds, the cumulative position of the parties will remain below [5-10]% regardless of the product segment considered, except for the marketing of rapeseed seed with an estimated position for the new entity of [10-20]%. However, in this latter market, the parties will still face competition from several operators such as Axereal and Soufflet.  </w:t>
        <w:br/>
        <w:t xml:space="preserve">85. In light of the above, the operation is not likely to harm competition in these various markets.  </w:t>
        <w:br/>
        <w:t xml:space="preserve">B. ANALYSIS OF VERTICAL EFFECTS  </w:t>
        <w:br/>
        <w:t xml:space="preserve">86. A vertical concentration can restrict competition by making access to the markets where the new entity will be active more difficult, or even potentially excluding competitors or penalizing them by increasing their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The decisional practice generally dismisses the risks of locking when the share of the company resulting from the operation in the relevant markets does not exceed 30%.  </w:t>
        <w:br/>
        <w:t xml:space="preserve">87. In this case, such effects must be examined in the market for cereals, in the animal nutrition market, and in the seed market where the new entity will be active.  </w:t>
        <w:br/>
        <w:t xml:space="preserve">88. In the sector of cereals, oilseeds, and protein crops, in the collection market, the market shares of the parties are [50-60]% in Charente, [20-30]% in Charente-Maritime, and [20-30]% in Deux-Sèvres. In contrast, the position of the new entity will be very weak in the market for the marketing of cereals, protein crops, and oilseeds (below [0-5]%).  </w:t>
        <w:br/>
        <w:t xml:space="preserve">89. Thus, the new entity will have no means to lock the markets as its local competitors in the collection of cereals, protein crops, and oilseeds will retain the ability to market to competitors. Conversely, the parties' competitors in the marketing market will be able to access the collection markets through competitors active in the relevant departments but also in all other French departments.  </w:t>
        <w:br/>
        <w:t xml:space="preserve">90. In the animal nutrition sector, the operation does not pose any risk of locking in upstream and downstream markets given the limited market shares of the parties or the negligible increment resulting from the operation.  </w:t>
        <w:br/>
        <w:t xml:space="preserve">91. Although the market share of the parties35 reaches [10-20]% in the market for the production and marketing of complete feed in the Poitou-Charentes, Limousin regions, and the Dordogne department, and exceeds [30-40]% for feed for ruminants and game, it should be noted that manufacturers have the possibility to adapt their production for feed for all species, as the raw materials used are generally the same. Furthermore, in the upstream market, the market share of the new entity is below [0-5]%, and in the downstream distribution market, the market share of the new entity is below [0-5]%. Thus, the new entity will not be in a position to lock the animal nutrition market.  </w:t>
        <w:br/>
        <w:t xml:space="preserve">92. Similarly, in the seed sector, the operation does not pose any risk of locking in upstream and downstream markets given the limited market shares of the parties.  </w:t>
        <w:br/>
        <w:t xml:space="preserve">C. ANALYSIS OF THE CONGLOMERATE EFFECTS OF THE OPERATION  </w:t>
        <w:br/>
        <w:t xml:space="preserve">93. A concentration has conglomerate effects when the new entity extends or strengthens its presence in several markets whose connectivity may allow it to increase its market power. While conglomerate concentrations can create pro-competitive synergies, some may nonetheless produce restrictive competition effects when they allow the technical or commercial tying of the sales or purchases of the components of the grouping in a way that locks the market and excludes competitors. As with the analysis of vertical effects, the decisional practice generally dismisses the risks of conglomerate effects when the share of the company resulting from the operation in the relevant markets does not exceed 30%.  </w:t>
        <w:br/>
        <w:t xml:space="preserve">94. In this case, Charentes Alliance and Corea are present in both the markets for the collection of cereals and protein crops and oilseeds in the departments of Charente, Charente-Maritime, Deux-Sèvres, Vienne, and Haute-Vienne, and in the retail distribution markets of agricultural supply products in these first four departments. There is a connectivity between these markets as they involve the same actors: in the first, farmers act as buyers of seeds, fertilizers, and phytosanitary products from the network of the two cooperatives; in the second, they are sellers of their harvests to these same cooperatives. Similarly, for farmers who have both livestock and land, there is a link of connectivity between the markets for the distribution of feed for livestock, the retail distribution markets of agricultural supply products, and the markets for the collection of cereals, oilseeds, and protein crops. Specifically, the parties could commercially tie their sales or purchases in these different markets, for example, by conditioning the purchase of the harvests produced by farmers on a prior obligation for them to purchase their inputs for crops from its distribution network or by conditioning the purchase of the harvests produced by farms that also have livestock on a prior obligation for them to purchase their livestock feed or their crop inputs from the new entity.  </w:t>
        <w:br/>
        <w:t xml:space="preserve">95. However, it is unlikely that the operation will pose such a risk, as the new entity does not have sufficiently strong positions in a market to leverage an effect. Thus, (i) in the retail distribution market of agricultural supply products (at the departmental level), the cumulative market shares of the parties will be below 25% in the department of Vienne, above 25% in the departments of Charente-Maritime and Deux-Sèvres but with an increment below [0-5]%, and between 40 and 60% in the department of Charente but with sufficient competitive pressure at each point of sale in the relevant territory; (ii) in the market for the collection of cereals, protein crops, and oilseeds (at the departmental level), the cumulative market share of the parties will be below 25% in Vienne and Haute-Vienne, above 25% in the departments of Charente-Maritime and Deux-Sèvres but with an increment below [0-5]%, and above 50% in the department of Charente but with sufficient competitive pressure in the local areas of 45 kilometers around the collection points; and (iii) in the market for the distribution of feed for livestock to farmers, the market share of the new entity will be below 10%.  </w:t>
        <w:br/>
        <w:t xml:space="preserve">96. Furthermore, the main competitors active in the relevant area are also present in each of the markets that may be subject to tied sales/purchases, such as the groups Terre Atlantique, Terrena, Soufflet Agriculture, and Cavac, which both engage in retail distribution of agricultural supply products and in the collection of harvests. These competitors thus have, regardless of the capacity and incentive of the future entity to lock the relevant markets, the means to thwart any potential strategy of the latter in this regard. Moreover, given the statutes and internal regulations of the new entity, the associated farmers are free to source and deliver their harvest to the cooperative of their choice. Additionally, the member farmers will remain free to join competing cooperatives if they wish.  </w:t>
        <w:br/>
        <w:t xml:space="preserve">97. Regarding the market for the collection of cereals, protein crops, and oilseeds and that related to the production and marketing of products related to animal nutrition, the risk of locking the market for the production and marketing of animal nutrition products can be dismissed given the limited market shares of the new entity in this market.  </w:t>
        <w:br/>
        <w:t>98. Therefore, any risk of harming competition through conglomerate effects can be dismissed.</w:t>
      </w:r>
    </w:p>
    <w:p>
      <w:r>
        <w:rPr>
          <w:b/>
        </w:rPr>
        <w:t>[Pages 19–19]</w:t>
      </w:r>
    </w:p>
    <w:p>
      <w:r>
        <w:t xml:space="preserve">DECIDES  </w:t>
        <w:br/>
        <w:t xml:space="preserve">Sole Article: The operation notified under number 15-177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