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https://www.autoritedelaconcurrence.fr/fr/decision-de-controle-des-concentrations/relative-la-fusion-entre-les-cooperatives-gascoval-et</w:t>
      </w:r>
    </w:p>
    <w:p>
      <w:r>
        <w:t>Pages translated : 9</w:t>
      </w:r>
    </w:p>
    <w:p/>
    <w:p>
      <w:r>
        <w:rPr>
          <w:b/>
        </w:rPr>
        <w:t>[Pages 1–3]</w:t>
      </w:r>
    </w:p>
    <w:p>
      <w:r>
        <w:t xml:space="preserve">FRENCH REPUBLIC  </w:t>
        <w:br/>
        <w:t xml:space="preserve">Decision No. 12-DCC-104 of July 31, 2012  </w:t>
        <w:br/>
        <w:t xml:space="preserve">regarding the merger between the cooperatives  </w:t>
        <w:br/>
        <w:t>Gascoval and Terres de Gascogne</w:t>
      </w:r>
    </w:p>
    <w:p>
      <w:r>
        <w:t xml:space="preserve">The Competition Authority,  </w:t>
        <w:br/>
        <w:t xml:space="preserve">Having regard to the notification file submitted in full to the concentrations service on July 2, 2012, regarding the merger of the cooperatives Gascoval and Terres de Gascogne, formalized by a letter of intent and a draft merger agreement dated May 2,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Gascoval is an agricultural cooperative with more than 13,000 associated farmers located mainly in the departments of Haute-Garonne (42% of associates), Hautes-Pyrénées (22%), Ariège (20%), and Gers (16%). Resulting from the merger in 2007 of the cooperatives Sagicoop and Uac, Gascoval's main activities include the marketing to its cooperative associates of agri-supply products (animal feed, agri-supply intended for mixed farming), the collection, purchase, and resale of cereals, oilseeds, and protein crops, and the distribution to the general public of gardening, DIY, and outdoor improvement products (through the ownership of 11 points of sale).  </w:t>
        <w:br/>
        <w:t>2. Terres de Gascogne is an agricultural cooperative with more than 5,000 associated farmers located mainly in the departments of Gers (83% of associates), Lot-et-Garonne (13%), and Haute-Garonne (2.4%). Terres de Gascogne's main activities include the marketing to its cooperative associates of agri-supply products (animal feed, agri-supply intended for mixed farming and viticulture), the collection, purchase, and resale of cereals, oilseeds, and protein crops, wine production, and milling.</w:t>
      </w:r>
    </w:p>
    <w:p>
      <w:r>
        <w:t xml:space="preserve">3. The operation, formalized by a letter of intent and a draft merger agreement dated May 2, 2012, involves the merger by absorption of Gascoval by Terres de Gascogne. As it results in the merger of previously independent companies, the operation constitutes a concentration within the meaning of Article L.430-1 of the Commercial Code.  </w:t>
        <w:br/>
        <w:t>4. The companies concerned together achieve a total worldwide turnover of more than 150 million euros (Gascoval: [...] euros for the fiscal year ending June 30, 2011; Terres de Gascogne: [...] euros for the same period). At least two of these companies achieve a turnover in France exceeding 50 million euros (Gascoval: [...] euros for the fiscal year ending June 30, 2011; Terres de Gascogne: [...]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activities of the parties overlap in the sectors of the distribution of agri-supply products for crops (A), the collection and marketing of cereals, protein crops, and oilseeds (B), animal nutrition (C), and the distribution of domestic and agricultural fuel oil (D).  </w:t>
        <w:br/>
        <w:t xml:space="preserve">A. THE DISTRIBUTION OF AGRI-SUPPLY PRODUCTS FOR CROPS  </w:t>
        <w:br/>
        <w:t xml:space="preserve">6. In terms of agri-supply, national decision-making practice has adopted a segmentation based on the type of crops, notably distinguishing market gardening from mixed farming, and has considered the existence of a distinct market for the distribution of products for vineyards.  </w:t>
        <w:br/>
        <w:t xml:space="preserve">7. Regarding the distribution of agri-supply products intended for mixed farming, national competition authorities distinguish the distribution of seeds, the distribution of fertilizers, the distribution of phytosanitary products, the distribution of other agricultural equipment, and even the distribution of amendments, while emphasizing the existence of a strong substitutability on the supply side, as the vast majority of distributors offer these different categories of products to farmers. Specifically concerning the distribution of seeds, the existence of a particular segment consisting of seeds intended for organic farming has been considered.  </w:t>
        <w:br/>
        <w:t xml:space="preserve">8. Finally, the Competition Authority has deemed that there is no need to segment the market by distribution channel, as traders and cooperatives provide farmers with a similar offer. Indeed, even if significant differences between these two types of actors (status, taxation, nature of contractual relationships with the farmer) may exist, these do not suffice to establish the existence of two distinct product markets.  </w:t>
        <w:br/>
        <w:t xml:space="preserve">9. In this case, both parties to the operation are simultaneously active in the markets for non-organic seeds, amendments, fertilizers, and phytosanitary products for mixed farming.  </w:t>
        <w:br/>
        <w:t xml:space="preserve">10. Regarding the geographical delimitation of these markets, previous decision-making has retained a local dimension for the markets of the marketing of seeds, fertilizers, and phytosanitary products intended for farmers, with the analysis being conducted at a departmental level. In a recent decision, the Competition Authority confirmed that despite the search for a certain rationalization in the delivery of goods from fewer platforms and storage locations, the market retained a local dimension. Under these conditions, and in view of the available data for calculating market shares, a preliminary analysis will be conducted at the departmental level. Since the operational scope of companies in the sector does not necessarily take this administrative delimitation into account, a supplementary analysis will be conducted based on the distribution of the parties' points of sale and their overlapping area in the affected departments. In this case, the activities of the parties overlap in the departments of Gers and Haute-Garonne.  </w:t>
        <w:br/>
        <w:t xml:space="preserve">B. CEREALS, PROTEIN CROPS, AND OILSEEDS  </w:t>
        <w:br/>
        <w:t xml:space="preserve">11. In accordance with what has been developed in a recent decision, the collection of cereals, protein crops, and oilseeds by collecting organizations from farmers (upstream) must be distinguished from marketing at the national and international levels by collecting organizations (downstream).  </w:t>
        <w:br/>
        <w:t xml:space="preserve">1. THE UPSTREAM MARKET FOR THE COLLECTION OF CEREALS, PROTEIN CROPS, AND OILSEEDS.  </w:t>
        <w:br/>
        <w:t xml:space="preserve">12. In accordance with what has been developed in a recent decision, it is appropriate to recognize the existence of a single market for collection encompassing both oilseeds, protein crops, and cereals. Indeed, collection silos can indiscriminately store all types of grains (cereals, protein crops, and oilseeds), with some products requiring only specific infrastructures, such as dryers for corn or sorting tools for peas. However, the vast majority of collecting companies have all the infrastructures suitable for each type of grain, allowing them to store cereals, oilseeds, and protein crops alike.  </w:t>
        <w:br/>
        <w:t>13. Regarding the geographical delimitation of this market, it has recently been confirmed that the collection of harvests remains a local market, with the competitive analysis having first been conducted, notably based on data provided by FranceAgriMer, at the level of the departments.</w:t>
      </w:r>
    </w:p>
    <w:p>
      <w:r>
        <w:rPr>
          <w:b/>
        </w:rPr>
        <w:t>[Pages 4–6]</w:t>
      </w:r>
    </w:p>
    <w:p>
      <w:r>
        <w:t>departmental, subsequently supplemented by an analysis of areas within 45 kilometers around the silos of the companies concerned.</w:t>
      </w:r>
    </w:p>
    <w:p>
      <w:r>
        <w:t>2. THE DOWNSTREAM MARKET FOR THE MARKETING OF CEREALS, OILSEEDS, AND PROTEIN CROPS</w:t>
      </w:r>
    </w:p>
    <w:p>
      <w:r>
        <w:t>14. National decision-making practice, while leaving the question open, considers that there is a relevant market by type of cereals, oilseeds, and protein crops. It further distinguishes durum wheat from soft wheat on the grounds that the uses of these two cereals are different: durum wheat is used in semolina production while soft wheat is primarily used in milling and animal feed. Furthermore, competition authorities have considered that it could be envisaged to distinguish segments including only organic cereals, oilseeds, or protein crops.</w:t>
      </w:r>
    </w:p>
    <w:p>
      <w:r>
        <w:t>15. National decision-making practice, while leaving the question open, considers that these markets are of national, if not European, dimension.</w:t>
      </w:r>
    </w:p>
    <w:p>
      <w:r>
        <w:t>16. There is no need to challenge these delineations during the examination of the present operation. In this case, the analysis will be conducted at the national level.</w:t>
      </w:r>
    </w:p>
    <w:p>
      <w:r>
        <w:t>C. ANIMAL NUTRITION</w:t>
      </w:r>
    </w:p>
    <w:p>
      <w:r>
        <w:t>1. PRODUCT MARKETS</w:t>
      </w:r>
    </w:p>
    <w:p>
      <w:r>
        <w:t>17. Decision-making practice distinguishes, in the field of animal nutrition, upstream markets (products used in the formulation of animal feed) from downstream markets (feeds resulting from this formulation). It also makes a distinction between livestock animals and pets.</w:t>
      </w:r>
    </w:p>
    <w:p>
      <w:r>
        <w:t>18. Upstream, the raw materials used to manufacture feeds are generally the same (cakes, cereals, pre-mixes) depending on the species. It is therefore not necessary to distinguish markets specific to each type of animal. On the other hand, pre-mixes, concentrated mixtures of vitamins, trace elements, and technical additives, are distinguished from plant raw materials, cereals, and cakes (residues obtained after the extraction of oil from oilseeds or fruits) that they are intended to complement for the production of complete feeds.</w:t>
      </w:r>
    </w:p>
    <w:p>
      <w:r>
        <w:t>19. Downstream, national decision-making practice distinguishes between complete feeds and mineral and nutritional compound feeds, complementary feeds composed of trace elements, macroelements, and vitamins, intended to correct deficiencies in daily complete feed rations for livestock. Regarding complete feeds, national decision-making practice has considered segmenting this market based on each animal species, although this question has been left open.</w:t>
      </w:r>
    </w:p>
    <w:p>
      <w:r>
        <w:t>20. In this case, unlike Gascoval, the cooperative Terres de Gascogne is present in the markets for the manufacture of animal feeds. Furthermore, each of the two parties engages in the distribution of feeds to farmers, particularly feed for cattle, sheep, pigs, and poultry, which they purchase from third-party suppliers.</w:t>
      </w:r>
    </w:p>
    <w:p>
      <w:r>
        <w:t>21. The notifying parties propose to further define a market for the distribution of livestock feeds by cooperatives or traders to farmers, similar to what has been retained for the distribution of agri-supply products for crops. They also believe that there is no need to segment this market either by the nature of the products sold (complete feeds, mineral and nutritional compound feeds, simple feeds) or by the animal species for which these feeds are intended. The fact that all animal nutrition distributors in a given sector sell all types of products would lead to the retention of a single overall market, with the segmentations retained for the markets of animal feed manufacturing being irrelevant for a wholesale trading activity.</w:t>
      </w:r>
    </w:p>
    <w:p>
      <w:r>
        <w:t>22. It should indeed be noted that many cooperatives do not own their own animal feed manufacturing plants but still engage in distribution activities to their member farmers, characterized by the sale of goods associated with a technical advisory service in nutrition and animal health. Regarding feed manufacturers, they market their production either by directly ensuring distribution to farms, through a network of sales technicians, or by selling it to distributors, such as cooperatives or traders, who then resell it at retail. Thus, direct sales by manufacturers exert competitive pressure on sales made by distributors. The latter adapt to the demands of farms and generally offer the same range of animal feeds.</w:t>
      </w:r>
    </w:p>
    <w:p>
      <w:r>
        <w:t>23. Consequently, it is necessary to consider, in addition to the markets for the manufacture of livestock feeds, the existence of a downstream market for the distribution of these products involving feed distributors (cooperatives, traders), including manufacturers when they engage in direct sales, and farmers as buyers. In any event, the question of the precise delineation of these markets can be left open insofar as, regardless of the hypothesis adopted, the conclusions of the competitive analysis will remain unchanged.</w:t>
      </w:r>
    </w:p>
    <w:p>
      <w:r>
        <w:t>2. GEOGRAPHICAL MARKETS</w:t>
      </w:r>
    </w:p>
    <w:p>
      <w:r>
        <w:t>24. Decision-making practice has envisaged at least a national delineation for the upstream markets of the production and marketing of cereals, cakes, and pre-mixes, as well as the downstream market for the marketing of mineral and nutritional compounds, while leaving the question open.</w:t>
      </w:r>
    </w:p>
    <w:p>
      <w:r>
        <w:t>25. National decision-making practice has considered that the market for the production of complete feeds could have a local dimension, corresponding to a delivery area of 100 to 150 kilometers around the production site, due to the bulky and heavy nature of the feeds concerned.</w:t>
      </w:r>
    </w:p>
    <w:p>
      <w:r>
        <w:t>26. Regarding the retail distribution markets of animal feed to farmers, the notifying parties propose to consider a regional dimension in view of the organization of distributive companies in this sector.</w:t>
      </w:r>
    </w:p>
    <w:p>
      <w:r>
        <w:t>27. In any event, the question of the precise delineation of these markets can be left open insofar as, regardless of the hypothesis adopted, the conclusions of the competitive analysis will remain unchanged.</w:t>
      </w:r>
    </w:p>
    <w:p>
      <w:r>
        <w:t>D. THE DISTRIBUTION OF DOMESTIC AND AGRICULTURAL FUEL OIL</w:t>
      </w:r>
    </w:p>
    <w:p>
      <w:r>
        <w:t>28. The national authorities have considered, while leaving the question of market delineation open, that it is possible to distinguish between domestic fuel oil and agricultural fuel oil, insofar as the types of clientele are not identical (individuals for domestic fuel oil and farmers for agricultural fuel oil). In the context of the examination of the notified operation, the precise delineation of the market can be left open, insofar as, regardless of the delineation adopted, the conclusions of the analysis will remain unchanged.</w:t>
      </w:r>
    </w:p>
    <w:p>
      <w:r>
        <w:t>29. Regarding the geographical dimension of these markets, the national authorities have noted that domestic fuel oil and agricultural fuel oil are usually distributed on a local scale, generally departmental, and more rarely on a regional scale from storage locations. There is no need to challenge this delineation during the present operation, so the analysis will be conducted at the departmental level.</w:t>
      </w:r>
    </w:p>
    <w:p>
      <w:r>
        <w:t>III. The Competitive Analysis</w:t>
      </w:r>
    </w:p>
    <w:p>
      <w:r>
        <w:t>A. THE MARKETS FOR THE DISTRIBUTION OF AGRO-SUPPLY PRODUCTS INTENDED FOR POLYCULTURE</w:t>
      </w:r>
    </w:p>
    <w:p>
      <w:r>
        <w:t>30. In the markets for the distribution of agri-supply products intended for polyculture to farmers in the two concerned departments, the parties estimated their market shares as indicated in the table below:</w:t>
      </w:r>
    </w:p>
    <w:p>
      <w:r>
        <w:t>Departments Products Terres de Gascogne Gascoval Cumulative</w:t>
        <w:br/>
        <w:t>seeds [0-5] % [10-20] % [10-20] %</w:t>
        <w:br/>
        <w:t>Haute-Garonne fertilizers/amendments [0-5] % [10-20] % [10-20] %</w:t>
        <w:br/>
        <w:t>phytosanitary products [0-5] % [10-20] % [10-20] %</w:t>
        <w:br/>
        <w:t>seeds [10-20] % [5-10] % [20-30] %</w:t>
        <w:br/>
        <w:t>Gers fertilizers/amendments [20-30] % [5-10] % [20-30] %</w:t>
        <w:br/>
        <w:t>phytosanitary products [30-40] % [5-10] % [30-40] %</w:t>
      </w:r>
    </w:p>
    <w:p>
      <w:r>
        <w:rPr>
          <w:b/>
        </w:rPr>
        <w:t>[Pages 7–9]</w:t>
      </w:r>
    </w:p>
    <w:p>
      <w:r>
        <w:t>31. It follows from this table that in the department of Haute-Garonne, the future entity will have market shares of less than 25% and will continue to face competition from several significant players, such as the Arterris group (market shares between 40 and 50%) and Euralis (market shares between 10 and 20%).</w:t>
      </w:r>
    </w:p>
    <w:p>
      <w:r>
        <w:t>32. In the department of Gers, with cumulative market shares between [20-30]% and [30-40]%, the new entity will be a significant player in the area and will face competition from Vivadour (market shares between [20-30]% and [30-40]% depending on the product segments), Gersycoop (market shares between [5-10]% and [10-20]%) and a few players with market shares below [0-5]%, such as Qualisol, Arterris, and Agro d’Oc.</w:t>
      </w:r>
    </w:p>
    <w:p>
      <w:r>
        <w:t>33. Regarding the distribution of the parties' points of sale in the relevant territories, the overlapping areas are limited to the southeast quarter of the department of Gers. Indeed, the supply points of Terres de Gascogne are mainly located in Gers (approximately two-thirds of the territory, east of a line from Eauze to Ponsan-Soubiran) while those of Gascoval are situated in the southeast quarter of Gers and in Haute-Garonne.</w:t>
      </w:r>
    </w:p>
    <w:p>
      <w:r>
        <w:t>34. Specifically, in the southeast quarter of the department of Gers, Terres de Gascogne and Gascoval have 9 and 3 points of sale respectively, while the competition holds 14, including:</w:t>
        <w:br/>
        <w:t>- two points of sale for Vivadour, a powerful cooperative group with an annual total turnover of over 400 million euros and more than 5,000 farmer members; it is a well-established group across most of the Gers territory;</w:t>
        <w:br/>
        <w:t>- six points of sale for Gersycoop, a smaller cooperative group with an annual turnover of approximately 80 million euros and more than 1,000 members; it is a group present in a significant part of the Gers territory;</w:t>
        <w:br/>
        <w:t>- two points of sale for Arterris, a powerful cooperative group with a consolidated annual total turnover of nearly 600 million euros and approximately 120 supply depots spread across 8 departments, including Gers.</w:t>
      </w:r>
    </w:p>
    <w:p>
      <w:r>
        <w:t>35. Therefore, considering all these elements, the operation is not likely to harm competition in the markets for the distribution of agricultural supply products intended for mixed farming.</w:t>
      </w:r>
    </w:p>
    <w:p>
      <w:r>
        <w:t>B. THE MARKETS FOR THE COLLECTION OF CEREALS, PROTEIN CROPS, AND OILSEEDS</w:t>
      </w:r>
    </w:p>
    <w:p>
      <w:r>
        <w:t>36. In the department of Gers, the only department where the parties are simultaneously active, Terres de Gascogne and Gascoval collect respectively [10-20]% and [5-10]% of cereals, oilseeds, and protein crops, resulting in a cumulative market share of [20-30]%.</w:t>
      </w:r>
    </w:p>
    <w:p>
      <w:r>
        <w:t>37. The future entity will continue to face competition from the Vivadour group (market share between [20-30]%), Gersycoop (between [10-20]%), and a few other players with market shares below [5-10]%, such as Qualisol and Arterris.</w:t>
      </w:r>
    </w:p>
    <w:p>
      <w:r>
        <w:t>38. Similar to the distribution activity of agricultural supply products for crops, the overlapping areas between the silos of Terres de Gascogne and Gascoval are confined to the southeast quarter of the department of Gers. More specifically, in an area of 45 kilometers around Faget-Abbatial and Simorre (where a collection point for Terres de Gascogne and a collection point for Gascoval are located respectively), Terres de Gascogne and Gascoval have respectively […] and […] silos out of a total of […], resulting in respective market shares of [20-30]% and [20-30]% for a cumulative market share of [50-60]%. In an area of 45 kilometers around Gimont and Razengues (where a collection point for Gascoval and a collection point for Terres de Gascogne are located respectively), Terres de Gascogne and Gascoval have respectively […] and […] silos out of a total of […], resulting in respective market shares of [20-30]% and [10-20]% for a cumulative market share of [40-50]%.</w:t>
      </w:r>
    </w:p>
    <w:p>
      <w:r>
        <w:t>39. For each of these two local areas, the silos of competitors are fairly evenly distributed across the area, as at least […] silos (for the Gimont/Razengues area) and […] silos (for the Faget-Abbatial/Simorre area) are located within 20 kilometers of either of the parties' collection points. Furthermore, among these competitors with silos in the area are large cooperative groups, such as:</w:t>
        <w:br/>
        <w:t>- Vivadour, which harvested more than […] tons of cereals, oilseeds, and protein crops for the 2010/2011 campaign in Gers and neighboring departments, slightly more than the total volume collected by the two cooperatives Terres de Gascogne and Gascoval;</w:t>
        <w:br/>
        <w:t>- Arterris, which harvested approximately […] tons of crops during the last campaign across 8 departments, thanks to a network of 95 silos;</w:t>
        <w:br/>
        <w:t>- Euralis, which, with more than 15,000 members and an annual turnover of approximately 1.3 billion euros, presents itself as a significant player in the southwest of France.</w:t>
      </w:r>
    </w:p>
    <w:p>
      <w:r>
        <w:t>40. Under these conditions, given their extensive presence in neighboring departments, these competing cooperatives will be able to easily meet the demand of farmers who are currently members of Terres de Gascogne or Gascoval, who may not wish to join the future entity or who wish to put it in competition with another collector. This competition will be even easier as the statutes of the future entity will allow farmers to unilaterally determine the level of their commitment in terms of selling their production to the cooperative.</w:t>
      </w:r>
    </w:p>
    <w:p>
      <w:r>
        <w:t>41. Consequently, considering all these elements, the operation is not likely to harm competition in the markets for the collection of cereals, protein crops, and oilseeds.</w:t>
      </w:r>
    </w:p>
    <w:p>
      <w:r>
        <w:t>C. THE MARKETS FOR THE MARKETING OF CEREALS, OILSEEDS, AND PROTEIN CROPS</w:t>
      </w:r>
    </w:p>
    <w:p>
      <w:r>
        <w:t>42. In the markets for the marketing of cereals, oilseeds, and protein crops, at the national level, the cumulative position of the parties remains below [10-20]% regardless of the product segment considered. At the European level, the market shares of the parties are even more modest.</w:t>
      </w:r>
    </w:p>
    <w:p>
      <w:r>
        <w:t>43. Across all these markets, the competitors of the parties are numerous and mostly consist of large cooperative groups or traders who market significant volumes of cereals, oilseeds, and protein crops throughout France and Europe, such as Champagne Céréales, Euralis, Le Gouessant, Terrena, Soufflet, Triskalia, Cecab, Nouricia, La Cooperl.</w:t>
      </w:r>
    </w:p>
    <w:p>
      <w:r>
        <w:t>44. In light of the above, the operation is not likely to harm competition in the various markets for the marketing of cereals, oilseeds, and protein crops.</w:t>
      </w:r>
    </w:p>
    <w:p>
      <w:r>
        <w:t>D. THE MARKETS FOR ANIMAL NUTRITION</w:t>
      </w:r>
    </w:p>
    <w:p>
      <w:r>
        <w:t>45. In a regional overall market for the distribution of animal feed, the cumulative market share of the parties remains below [0-5]%. The majority of the volumes of animal feed distributed by Terres de Gascogne and Gascoval correspond to nutrition for cattle, sheep, pigs, and poultry. In the event of market segmentation by animal species, the cumulative market share of the future entity also remains below [0-5]%.</w:t>
      </w:r>
    </w:p>
    <w:p>
      <w:r>
        <w:t>46. The parties will continue to face competition from several companies, such as the Vivadour group, Sanders, or Gersycoop.</w:t>
      </w:r>
    </w:p>
    <w:p>
      <w:r>
        <w:t>47. Furthermore, given the marginal market share of the parties in the market for the distribution of animal feed, and the very limited activity of Terres de Gascogne in the field of animal nutrition manufacturing (only producing mash), any risk of harming competition through vertical effects between the manufacturing market and the distribution market for animal feed can be ruled out.</w:t>
      </w:r>
    </w:p>
    <w:p>
      <w:r>
        <w:t>48. Consequently, the operation is not likely to harm competition in the markets for animal nutrition.</w:t>
      </w:r>
    </w:p>
    <w:p>
      <w:r>
        <w:t>E. THE MARKETS FOR THE DISTRIBUTION OF DOMESTIC AND AGRICULTURAL FUEL OIL</w:t>
      </w:r>
    </w:p>
    <w:p>
      <w:r>
        <w:t>49. Regarding the distribution of domestic and agricultural fuel oil, the two notifying parties are marginally present in these markets, achieving less than [0-5]% of their respective total turnover in this type of activity. They estimate their cumulative market share to be below [0-5]% in Gers and at an even lower level in Haute-Garonne. They will also continue to face competition from numerous and much larger players, such as Alvea, a subsidiary of the Total group.</w:t>
      </w:r>
    </w:p>
    <w:p>
      <w:r>
        <w:t>50. Therefore, the operation is not likely to harm competition in the markets for the distribution of domestic and agricultural fuel oil.</w:t>
      </w:r>
    </w:p>
    <w:p>
      <w:r>
        <w:t>DECIDES</w:t>
      </w:r>
    </w:p>
    <w:p>
      <w:r>
        <w:t>Sole Article: The operation notified under number 12-075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