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https://www.autoritedelaconcurrence.fr/fr/decision-de-controle-des-concentrations/relative-la-fusion-par-absorption-de-la-societe-cooperative</w:t>
      </w:r>
    </w:p>
    <w:p>
      <w:r>
        <w:t>Pages translated : 8</w:t>
      </w:r>
    </w:p>
    <w:p/>
    <w:p>
      <w:r>
        <w:rPr>
          <w:b/>
        </w:rPr>
        <w:t>[Pages 1–3]</w:t>
      </w:r>
    </w:p>
    <w:p>
      <w:r>
        <w:t xml:space="preserve">FRENCH REPUBLIC  </w:t>
        <w:br/>
        <w:t xml:space="preserve">Decision No. 15-DCC-144 of October 23, 2015  </w:t>
        <w:br/>
        <w:t xml:space="preserve">regarding the merger by absorption of the Agricultural Pig Cooperative of Manche by the Agricultural Cooperative of Mayenne  </w:t>
        <w:br/>
        <w:t xml:space="preserve">The Competition Authority,  </w:t>
        <w:br/>
        <w:t xml:space="preserve">Having regard to the notification file submitted in full to the concentrations service on September 23, 2015, regarding the merger of the Agricultural Pig Cooperative of Manche with the Agricultural Cooperative of Mayenne, formalized by a merger protocol dated June 29,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1. The Agricultural Cooperative of Mayenne (hereinafter "CAM") is a cooperative society whose capital is held by 4,000 farmer members located in the departments of Mayenne, Ille-et-Vilaine, Manche, Orne, Sarthe, Maine-et-Loire, and Loire-Atlantique. Its capital is held by its farmer members as well as other cooperatives that do not exercise any control over CAM. CAM is a cooperative for the collection and marketing of plant productions (cereals and oilseeds), poultry, pigs, and cattle. It also operates in the sectors of agricultural supply and animal nutrition, equipment, animals, and provides necessary services for agricultural production. It also distributes gardening, DIY, and outdoor improvement products to the general public through the sales points of its subsidiary Proxivert under the Gammvert and Gammvert Village brands. CAM also has a sales network for agricultural professionals through stores under the CAM brand and some subsidiaries.</w:t>
      </w:r>
    </w:p>
    <w:p>
      <w:r>
        <w:t xml:space="preserve">2. The Agricultural Pig Cooperative of Manche (hereinafter "CAP 50") is a cooperative society whose capital is held by nearly 120 members located in the departments of Manche, Orne, Calvados, Eure, Ille-et-Vilaine, Mayenne, and Seine-Maritime. Its capital is held 98.6% by cooperative members and 1.3% by non-cooperative members. CAP 50 specializes in the pig sector. It ensures the supply of breeders to its members for the multiplication of their livestock and piglets for fattening. It also collects pigs from its members for resale to slaughterhouses. It also provides members with hygiene and animal health products.  </w:t>
        <w:br/>
        <w:t xml:space="preserve">3. The operation, formalized by a merger protocol dated June 29, 2015, consists of the merger of the cooperatives CAP 50 and CAM. CAP 50 commits to contribute to CAM, by way of merger, based on the accounts closed and certified as of June 30, 2015, all the active and passive elements that constitute its assets as of June 30, 2015. Following the operation, the legal personality of CAP 50 will cease to exist.  </w:t>
        <w:br/>
        <w:t xml:space="preserve">4. Insofar as it leads to the merger by absorption of the cooperative CAP 50 by CAM, the notified operation constitutes a concentration within the meaning of Article L. 430-1 of the Commercial Code.  </w:t>
        <w:br/>
        <w:t xml:space="preserve">5. The concerned companies together achieve a total worldwide turnover of more than 150 million euros (CAM: […] euros for the fiscal year ending December 31, 2014; CAP 50: […] euros for the same fiscal year). Each achieves a turnover in France exceeding 50 million euros (CAM: […] euros for the fiscal year ending December 31, 2014; CAP 50: […] euros for the same fiscal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6. The activities of the parties mainly overlap in the sector of the collection of pigs for slaughter. Marginally, the parties also engage in the collection and sale of piglets for fattening, the sale of breeders for herd multiplication, and the sale of products intended for the implementation of the pig farming health plan.  </w:t>
        <w:br/>
        <w:t xml:space="preserve">A. THE MARKET FOR THE COLLECTION OF LIVE PIGS FOR SLAUGHTER  </w:t>
        <w:br/>
        <w:t xml:space="preserve">7. Generally, national and European practice1 recognizes a segmentation of collection markets in agriculture and livestock based on the type of products collected.  </w:t>
        <w:br/>
        <w:t xml:space="preserve">1 See in particular decisions C2008-100 / letter from the Minister of Economy, Industry and Employment dated February 17, 2009, to the board of the Bigard company, regarding a concentration in the meat sector, C2007-174 / letter from the Minister of Economy, Finance and Employment dated February 6, 2008, to the board of the Bigard company, regarding a concentration in the beef meat sector, and decisions of the Competition Authority No. 10-DCC-137 of October 18, 2010, regarding the merger between the cooperatives Coop Pigalys, PSB, PBO, LT, the union of cooperatives Union Pigalys and the pig farming branch of Terrena, and No. 10-DCC-81 of July 21, 2010, regarding the contribution of the pig farming activities of the Breton Agricultural Cooperative and the Cooperative of Broons to the company Prestor; see also the European Commission decision COMP/M.3605 – Sovion / HMG of December 21, 2004.  </w:t>
        <w:br/>
        <w:t xml:space="preserve">2 See decisions No. 10-DCC-137 and No. 10-DCC-81 cited above.  </w:t>
        <w:br/>
        <w:t xml:space="preserve">3 See in particular decision No. 10-DCC-81 cited above.  </w:t>
        <w:br/>
        <w:t xml:space="preserve">4 From March to July 2015, the parties also jointly supplied another Socopa slaughterhouse located in Sablé-sur-Sarthe in Sarthe (72). The consideration of this slaughterhouse will have no impact on the conclusions of the competitive analysis.  </w:t>
        <w:br/>
        <w:t xml:space="preserve">5 Id.  </w:t>
        <w:br/>
        <w:t>6 See in particular decision No. 10-DCC-81 cited above.</w:t>
      </w:r>
    </w:p>
    <w:p>
      <w:r>
        <w:t xml:space="preserve">Thus, in the meat sector, it has been considered that there are as many distinct markets as there are species of animals slaughtered, with differences in weight and size requiring specific equipment.  </w:t>
        <w:br/>
        <w:t xml:space="preserve">8. Regarding pigs, the competition authorities2 have considered a segmentation between pigs and sows, the latter being cull sows that have become unfit for reproduction. Indeed, sows are heavier than pigs, which implies the use of different slaughter lines, and their meat is mainly used for the production of processed products.  </w:t>
        <w:br/>
        <w:t xml:space="preserve">9. The competition authorities have considered that the market for the collection of pigs for slaughter is of local dimension and have retained, for competitive analysis, an area of 120 to 200 kilometers around the slaughterhouses3.  </w:t>
        <w:br/>
        <w:t xml:space="preserve">10. In this case, until the end of 2014, the parties did not supply any slaughterhouse in common. Since 2015, both parties have been supplying slaughterhouses located in Pays de la Loire, more precisely the Socopa slaughterhouses in Evron and Holvia in Laval (in Mayenne, 53)4. CAP 50 also sells to the AIM slaughterhouse located in Manche (Lower Normandy). These slaughterhouses being less than 120 km apart, it cannot be excluded that the slaughterhouses located in Pays de la Loire and in Manche belong to the same geographical market. In any case, the conclusions of the competitive analysis remain unchanged regardless of the size of the area considered, namely a radius of 120 or 200 km around the client slaughterhouses.  </w:t>
        <w:br/>
        <w:t xml:space="preserve">11. The competitive analysis will therefore be conducted over an area covering mainly Manche, Calvados, Ille-et-Vilaine, Mayenne, Orne, Loire-Atlantique, Maine-et-Loire, and Sarthe.  </w:t>
        <w:br/>
        <w:t xml:space="preserve">B. THE MARKET FOR THE SALE OF PIGLETS FOR FATTENING  </w:t>
        <w:br/>
        <w:t xml:space="preserve">12. National decisional practice5 has considered the existence of a market for the sale of piglets for fattening while leaving the question open. This market targets piglets that the breeders-fatteners cannot keep due to lack of space in their farms and that they sell to other breeders with available fattening capacities.  </w:t>
        <w:br/>
        <w:t xml:space="preserve">13. The question of the exact definition of this market can be left open, with the conclusions of the competitive analysis remaining unchanged regardless of the hypothesis retained.  </w:t>
        <w:br/>
        <w:t>14. The decisional practice of the Competition Authority has considered a departmental delimitation of the market, due to possible health constraints and/or transport costs, without definitively resolving this question6.</w:t>
      </w:r>
    </w:p>
    <w:p>
      <w:r>
        <w:rPr>
          <w:b/>
        </w:rPr>
        <w:t>[Pages 4–6]</w:t>
      </w:r>
    </w:p>
    <w:p>
      <w:r>
        <w:t xml:space="preserve">15. In this case, CAM and CAP 50 simultaneously supply piglets for fattening in the departments of Manche, Ille-et-Vilaine, and Mayenne.  </w:t>
        <w:br/>
        <w:t xml:space="preserve">C. THE MARKET FOR THE SALE OF BREEDING PIGS FOR HERD RENEWAL  </w:t>
        <w:br/>
        <w:t xml:space="preserve">16. The decisional practice7 has considered the existence of a market for the sale of breeding pigs intended for herd renewal.  </w:t>
        <w:br/>
        <w:t xml:space="preserve">17. While leaving the question open, the Competition Authority adopts a departmental delimitation of this potential market. However, it has analyzed the impact on a larger scale, particularly due to a longer transport duration8.  </w:t>
        <w:br/>
        <w:t xml:space="preserve">18. In this case, both parties sell breeders in Manche and Mayenne.  </w:t>
        <w:br/>
        <w:t xml:space="preserve">D. THE AGRICULTURAL SUPPLY MARKET IN HYGIENE AND ANIMAL HEALTH PRODUCTS  </w:t>
        <w:br/>
        <w:t xml:space="preserve">1. PRODUCT MARKETS  </w:t>
        <w:br/>
        <w:t xml:space="preserve">19. The practice of the competition authorities9 retains several segmentations of the animal health market based on therapeutic indication, the animal species to which it is intended, or the mode of administration. It should be noted, however, that since these decisions were made, and in accordance with the decision of the Council of State of January 24, 2007 (n° 285652), cooperatives are not allowed to hold and sell to their cooperative members veterinary medicines subject to a veterinarian's prescription and which are not necessary for the implementation of health plans for livestock. In this case, both parties provide products necessary for the implementation of the pig health plan, namely medicines, vaccines, and hygiene products.  </w:t>
        <w:br/>
        <w:t xml:space="preserve">20. The Competition Authority also considers that the markets for hygiene and animal health products have a national dimension10.  </w:t>
        <w:br/>
        <w:t xml:space="preserve">21. In this case, CAM distributes products necessary for the implementation of the pig health plan in Manche, Ille-et-Vilaine, and Mayenne, while CAP 50 only markets them in Manche.  </w:t>
        <w:br/>
        <w:t xml:space="preserve">7 Id.  </w:t>
        <w:br/>
        <w:t xml:space="preserve">8 Id.  </w:t>
        <w:br/>
        <w:t xml:space="preserve">9 See the letters from the Minister of Economy, Finance and Employment C2007-54 of June 25, 2007, to the councils of the Union of agricultural cooperatives Invivo, regarding a concentration in the livestock feed sector and C2007-79 of July 26, 2007, to the councils of the company Sofiprotéol regarding a concentration in the sector of production and marketing of animal feed, animal health, and animal production; the decision of the European Commission COMP/M.1681 – Azko Nobel / Hoechst Roussel Vet of November 22, 1999, and the decision of the Competition Authority n°13-DCC-102 of July 26, 2013, regarding the creation of a joint venture by Glon Sanders Holding and the Euralis group.  </w:t>
        <w:br/>
        <w:t xml:space="preserve">10 See the decision n°09-DCC-32 cited above.  </w:t>
        <w:br/>
        <w:t xml:space="preserve">E. THE MARKETS FOR ANIMAL NUTRITION  </w:t>
        <w:br/>
        <w:t xml:space="preserve">22. The national decisional practice11 distinguishes, in terms of animal nutrition, upstream markets (products used to produce animal feed) from downstream markets (feeds resulting from this production). It also makes a distinction between livestock animals and pets.  </w:t>
        <w:br/>
        <w:t xml:space="preserve">23. Only CAM is active in these markets, which will therefore be presented under the vertical effects of the operation, as both parties source animal nutrition products.  </w:t>
        <w:br/>
        <w:t xml:space="preserve">1. THE UPSTREAM MARKET FOR ANIMAL NUTRITION  </w:t>
        <w:br/>
        <w:t xml:space="preserve">24. Upstream, the raw materials used to manufacture feeds are generally the same (cakes, cereals, pre-mixes) depending on the species. The decisional practice has therefore considered that it was not necessary to distinguish markets specific to each type of animal. However, it has considered12 that vegetable oils, cereals, cakes, pre-mixes ("premix"), and medicated pre-mixes can each constitute a distinct segment within the market for products intended for animal feed. Specifically regarding the production and marketing of cereals used to produce animal feed, the decisional practice has specified that this activity constitutes a distinct market within the market for products intended for animal feed.  </w:t>
        <w:br/>
        <w:t xml:space="preserve">25. In this case, CAM is active in the markets for the production and marketing of cereals.  </w:t>
        <w:br/>
        <w:t xml:space="preserve">26. The decisional practice has retained at least a national dimension for each segment of the upstream animal nutrition market, particularly regarding the market for the production and marketing of cereals used to produce animal feed13.  </w:t>
        <w:br/>
        <w:t xml:space="preserve">2. THE DOWNSTREAM MARKET FOR ANIMAL NUTRITION  </w:t>
        <w:br/>
        <w:t xml:space="preserve">27. Downstream, the decisional practice14 has identified the market for the production and marketing of complete feeds and the market for the production and marketing of mineral and nutritional compound feeds. It has also considered the existence of a market for the production and marketing of "single feed"15. Regarding the production and marketing of complete feeds, the decisional practice16 has considered a segmentation based on each animal species, although the question has been left open.  </w:t>
        <w:br/>
        <w:t xml:space="preserve">28. In this case, only CAM is active in the market for the production and marketing of complete feeds and the market for the production and marketing of mineral and nutritional compound feeds.  </w:t>
        <w:br/>
        <w:t xml:space="preserve">29. The national decisional practice17 has considered that the market for complete feeds could have a local dimension, corresponding to a delivery area of 100 to 150 kilometers around the production site, due to the bulky and heavy nature of the feeds concerned. However, the question of the exact delimitation of the market has been left open. Regarding the market for the production and marketing of mineral and nutritional compound feeds, the decisional practice has considered at least a national dimension.  </w:t>
        <w:br/>
        <w:t xml:space="preserve">III. Competitive Analysis  </w:t>
        <w:br/>
        <w:t xml:space="preserve">A. ANALYSIS OF HORIZONTAL EFFECTS  </w:t>
        <w:br/>
        <w:t xml:space="preserve">1. THE MARKETS FOR THE COLLECTION OF LIVE PIGS FOR SLAUGHTER  </w:t>
        <w:br/>
        <w:t xml:space="preserve">30. In the overall market for the collection of pigs for slaughter, the combined market shares of the parties will be below [10-20]% regardless of the market segmentation considered or the geographical area retained around the slaughterhouses of AIM, Socopa, and Holvia. The new entity will also face competition from significant players such as Cooperl, Porc Armor, and Agrial.  </w:t>
        <w:br/>
        <w:t xml:space="preserve">31. In the market for live pigs for slaughter only, the combined quantities of pigs delivered by the parties to the various slaughterhouses are below [10-20]% regardless of the slaughterhouse considered. The new entity will face competition from significant players such as Cooperl, Porc Armor, and Agrial, whose market shares are estimated at [30-40]%, [20-30]%, and [10-20]% respectively according to the parties' estimates.  </w:t>
        <w:br/>
        <w:t xml:space="preserve">32. In the market for cull pigs for slaughter only, the combined market shares of the parties will be a maximum of [5-10]% and the new entity will also face competition from Cooperl, Porc Armor, and Agrial.  </w:t>
        <w:br/>
        <w:t xml:space="preserve">33. It follows from the preceding elements that the operation is not likely to harm competition in the market for the collection, purchase, and resale of pigs and sows for slaughter.  </w:t>
        <w:br/>
        <w:t xml:space="preserve">15 See in particular the decision of the European Commission COMP/M.6468 of March 16, 2012, Forfarmers / Hendrix and the decision of the Competition Authority n° 13-DCC-102 cited above.  </w:t>
        <w:br/>
        <w:t xml:space="preserve">16 See for example the decisions of the Competition Authority n° 12-DCC-103 and n° 13-DCC-102 cited above.  </w:t>
        <w:br/>
        <w:t>17 Id.</w:t>
      </w:r>
    </w:p>
    <w:p>
      <w:r>
        <w:rPr>
          <w:b/>
        </w:rPr>
        <w:t>[Pages 7–8]</w:t>
      </w:r>
    </w:p>
    <w:p>
      <w:r>
        <w:t xml:space="preserve">2. THE MARKET FOR THE SALE OF PIGLETS FOR FATTENING  </w:t>
        <w:br/>
        <w:t xml:space="preserve">34. In this market, the activities of the parties overlap in Manche (Lower Normandy), Mayenne (Pays de la Loire), and Ille-et-Vilaine (Brittany). The sale of piglets for fattening, however, constitutes a marginal activity for the parties, each generating less than [0-5]% of their turnover in this market. In Mayenne and Ille-et-Vilaine (as well as in the corresponding regions), the parties estimate that their market share does not exceed [5-10]%.  </w:t>
        <w:br/>
        <w:t xml:space="preserve">35. In Manche, they estimate their combined market share at [20-30]%, but the new entity will still face competition from significant players such as Cooperl ([20-30]%), Agrial ([20-30]%), and Porc Armor ([10-20]%). In the Lower Normandy region as a whole, the parties estimate having a combined market share of [10-20]%, while its three main competitors mentioned above have estimated market shares ranging from [20-30]% to [30-40]%.  </w:t>
        <w:br/>
        <w:t xml:space="preserve">36. The operation is therefore not likely to harm competition in a potential market for the sale of piglets for fattening.  </w:t>
        <w:br/>
        <w:t xml:space="preserve">3. THE MARKET FOR THE SALE OF BREEDING PIGS FOR HERD RENEWAL  </w:t>
        <w:br/>
        <w:t xml:space="preserve">37. In this market, the activities of the parties overlap in Manche and Mayenne. This activity represents only [5-10]% and [0-5]% of the activities of CAP 50 and CAM, respectively.  </w:t>
        <w:br/>
        <w:t xml:space="preserve">38. The parties to the operation will have a combined market share of [30-40]% in Manche, although the operation will only result in an increment of less than [0-5]%. Cooperl ([30-40]% market share) and Agrial ([10-20]%) will remain their main competitors. At the regional level, the market share of the parties will be [20-30]%.  </w:t>
        <w:br/>
        <w:t xml:space="preserve">39. In Mayenne, the parties will hold a combined market share of [10-20]% and will continue to face competitive pressure from Cooperl and Agrial in particular. At the regional level, their market share is only [5-10]%.  </w:t>
        <w:br/>
        <w:t xml:space="preserve">40. The operation is therefore not likely to harm competition in the market for the sale of breeding pigs for herd renewal.  </w:t>
        <w:br/>
        <w:t xml:space="preserve">4. THE AGRICULTURAL SUPPLY MARKET FOR HYGIENE AND ANIMAL HEALTH PRODUCTS  </w:t>
        <w:br/>
        <w:t xml:space="preserve">41. The sale of products intended for the implementation of the pig farming health plan is a very marginal activity for each of the parties, as it represents less than […]% of their respective turnover. In this market, the market share of the new entity will be less than [0-5]% at the national level, regardless of the segmentation retained.  </w:t>
        <w:br/>
        <w:t>42. The operation is therefore not likely to harm competition in the agricultural supply market concerning hygiene and animal health.</w:t>
      </w:r>
    </w:p>
    <w:p>
      <w:r>
        <w:t xml:space="preserve">B. ANALYSIS OF VERTICAL EFFECTS  </w:t>
        <w:br/>
        <w:t xml:space="preserve">43.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decisional practice generally dismisses the risks of lock-in when the market share of the company resulting from the operation in the relevant markets does not exceed 30%.  </w:t>
        <w:br/>
        <w:t xml:space="preserve">44. In this case, such effects must be examined between the markets for animal feed intended for pigs, in which CAM will be active, and those for the sale of pigs, located downstream, in which both parties operate. However, CAM's market shares in the various segments of the animal nutrition market do not exceed [0-5]%.  </w:t>
        <w:br/>
        <w:t xml:space="preserve">45. Consequently, the operation is not likely to harm competition through vertical effects.  </w:t>
        <w:br/>
        <w:t xml:space="preserve">DECIDES  </w:t>
        <w:br/>
        <w:t xml:space="preserve">Single Article: The operation notified under number 15-138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