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https://www.autoritedelaconcurrence.fr/fr/decision-de-controle-des-concentrations/relative-la-fusion-par-absorption-de-mutuelle-nationale-mcd</w:t>
      </w:r>
    </w:p>
    <w:p>
      <w:r>
        <w:t>Pages translated : 5</w:t>
      </w:r>
    </w:p>
    <w:p/>
    <w:p>
      <w:r>
        <w:rPr>
          <w:b/>
        </w:rPr>
        <w:t>[Pages 1–3]</w:t>
      </w:r>
    </w:p>
    <w:p>
      <w:r>
        <w:t xml:space="preserve">FRENCH REPUBLIC  </w:t>
        <w:br/>
        <w:t xml:space="preserve">Decision No. 13-DCC-111 of August 8, 2013  </w:t>
        <w:br/>
        <w:t xml:space="preserve">regarding the merger by absorption  </w:t>
        <w:br/>
        <w:t>of Mutuelle Nationale MCD by Eovi Mutuelle</w:t>
      </w:r>
    </w:p>
    <w:p>
      <w:r>
        <w:t xml:space="preserve">The Competition Authority,  </w:t>
        <w:br/>
        <w:t xml:space="preserve">Having regard to the notification file submitted in full to the concentrations service on July 10, 2013, regarding a merger by absorption of Mutuelle Nationale MCD by Eovi Mutuelle, formalized by a merger agreement dated May 16, 2013;  </w:t>
        <w:br/>
        <w:t xml:space="preserve">Having regard to Book IV of the Commercial Code relating to price freedom and competition, and in particular its Articles L. 430-1 to L. 430-7;  </w:t>
        <w:br/>
        <w:t xml:space="preserve">Having regard to the supplementary elements provided by the parties during the investigation;  </w:t>
        <w:br/>
        <w:t>Adopts the following decision:</w:t>
      </w:r>
    </w:p>
    <w:p>
      <w:r>
        <w:t xml:space="preserve">I. The concerned companies  </w:t>
        <w:br/>
        <w:t xml:space="preserve">1. Eovi Mutuelle (hereinafter "Eovi") is a mutual insurance company governed by the provisions of the Code of Mutuality, and in particular its Book II. It is primarily active in the field of risk coverage related to accidents (branch 1), illness (branch 2), death (branch 20), and marriage-birth (branch 21). Eovi is also active in the sector of distributing insurance products on behalf of third parties. Additionally, Eovi controls three unions of mutuals under Book III of the Code of Mutuality: Eovi Services et Soins, Eovi Services et Soins – UGEF, and Eovi Réalisations Mutualistes. These unions of mutuals manage networks of services and care, including dental offices, optical centers, hearing centers, as well as facilities for the accommodation of disabled and elderly persons (EHPAD).  </w:t>
        <w:br/>
        <w:t>1 See the decision of the Competition Authority No. 11-DCC-117 of July 26, 2011, regarding the merger by absorption of Eovi Mutuelle Creusoise, Eovi Mutuelle du Limousin, Eovi la Mif, Eovi Roanne Mutuelle, Eovi Mutuelles Présence, Eovi Mutuelle Drôme Arpica by Eovi Novalia Mutuelle and the portfolio contribution of Eovi Languedoc Mutualité, a union of mutuals, to Eovi Novalia Mutuelle. Eovi indeed has the capacity to appoint more than half of the members of the general assembly and their board of directors of these unions of mutuals and thus to exercise a decisive influence on their strategic decisions in view of the required majority conditions.</w:t>
      </w:r>
    </w:p>
    <w:p>
      <w:r>
        <w:t xml:space="preserve">2. Mutuelle Nationale MCD (hereinafter "MCD") is a mutual insurance company governed by the provisions of Book II of the Code of Mutuality, active in the field of risk coverage related to accidents (branch 1), illness (branch 2), death (branch 20), and marriage-birth (branch 21). MCD is also active in the sector of distributing insurance products on behalf of third parties. Additionally, MCD controls Adret, a mutual insurance company under Book III of the Code of Mutuality, which operates a nursing home (EHPAD) located in Bellegarde-en-Forez (42).  </w:t>
        <w:br/>
        <w:t xml:space="preserve">3. According to the merger agreement signed on May 16, 2013, by Eovi and MCD, approved by the General Assembly of Eovi on June 15, 2013, and by the General Assembly of MCD on June 13, 2013, the operation consists of the transfer by MCD of all elements of its assets to Eovi, followed by the dissolution of MCD.  </w:t>
        <w:br/>
        <w:t xml:space="preserve">4. Insofar as it results in the merger-absorption of MCD by Eovi, the notified operation constitutes a concentration within the meaning of Article L. 430-1 of the Commercial Code.  </w:t>
        <w:br/>
        <w:t>5. The concerned companies together achieve a total turnover excluding taxes on a global scale of more than 150 million euros (Eovi: […] euros for the fiscal year ending December 31, 2012, and MCD: […] euros for the same fiscal year). Each of these companies has achieved a turnover in France exceeding 50 million euros (Eovi: […] euros for the fiscal year ending December 31, 2012, and MCD: […] euros for the same fiscal year). Given these turnover figures,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6. The parties to the operation are simultaneously active in the sectors of insurance and accommodation for dependent elderly persons.  </w:t>
        <w:br/>
        <w:t xml:space="preserve">7. Regarding this latter activity, decision-making practice has considered that the markets for the accommodation of dependent elderly persons have a local dimension for the entire territory outside the Paris region, specifically at the departmental level. Since the parties operate in different departments, these markets will not be the subject of specific development.  </w:t>
        <w:br/>
        <w:t xml:space="preserve">2 Adret is financed by MCD, in accordance with the provisions of Article 65 of MCD's statutes. Furthermore, Article 1 of Adret's statutes provides that the management of Adret is entrusted to MCD under an agreement concluded between the two organizations.  </w:t>
        <w:br/>
        <w:t xml:space="preserve">3 Eovi and the three unions of mutuals it controls (Eovi Services et Soins, Eovi Services et Soins – UGEF, and Eovi Réalisations Mutualistes).  </w:t>
        <w:br/>
        <w:t xml:space="preserve">4 Eovi and the three unions of mutuals it controls.  </w:t>
        <w:br/>
        <w:t xml:space="preserve">5 See in particular the decisions of the Competition Authority No. 10-DCC-179 of December 13, 2010, regarding the exclusive control of the Mediter and Mieux-Vivre group by Orpéa, and No. 10-DCC-132 of October 11, 2010, regarding the creation of two joint ventures by DomusVi and GDP Vendôme.  </w:t>
        <w:br/>
        <w:t>* Correction of material error.</w:t>
      </w:r>
    </w:p>
    <w:p>
      <w:r>
        <w:t xml:space="preserve">8. Regarding the insurance sector, national and European competition authorities distinguish between the markets for personal insurance, property insurance, and reinsurance. Concerning the first two categories of products, competition authorities have determined that they can be segmented into as many markets as there are insurances covering different types of risks, insofar as, from the demand perspective, insurances covering these different risks are not substitutable.  </w:t>
        <w:br/>
        <w:t>9. In the present case, the parties to the transaction are simultaneously active in the personal insurance sector in the markets for supplementary health insurance, in the markets for provident insurance, and in the market for insurance distribution on behalf of third parties.</w:t>
      </w:r>
    </w:p>
    <w:p>
      <w:r>
        <w:t xml:space="preserve">A. THE MARKETS FOR PERSONAL INSURANCE PRODUCTS  </w:t>
        <w:br/>
        <w:t xml:space="preserve">10. Regarding the market for personal insurance, decision-making practice has considered that an additional segmentation can be made between collective insurance contracts, concluded between an insurer and a subscriber distinct from the beneficiary, and individual insurance contracts where the subscriber is also the beneficiary.  </w:t>
        <w:br/>
        <w:t xml:space="preserve">11. In the present case, the parties are simultaneously active in the markets for individual and collective supplementary health insurance and in the markets for individual and collective provident insurance.  </w:t>
        <w:br/>
        <w:t xml:space="preserve">12. The exact definition of each of the markets examined in this decision can be left open, as the conclusions of the competitive analysis will remain unchanged regardless of the segmentations retained.  </w:t>
        <w:br/>
        <w:t xml:space="preserve">13. Regarding the geographical delimitation of the markets, with the exception of certain insurances covering large-scale risks, decision-making practice has considered that the markets for insurance products are of national dimension given consumer preferences, the current structure of these markets, the existence of legislation, sectoral regulatory systems, and national tax constraints.  </w:t>
        <w:br/>
        <w:t>14. There is no need to challenge these delimitations in the context of the present operation.</w:t>
      </w:r>
    </w:p>
    <w:p>
      <w:r>
        <w:t xml:space="preserve">B. THE MARKETS FOR THE DISTRIBUTION OF INSURANCE PRODUCTS ON BEHALF OF THIRD PARTIES  </w:t>
        <w:br/>
        <w:t>15. The distribution of insurance products consists of marketing and ensuring the administrative management of guarantees or insurance contracts whose risk is borne by insurers.</w:t>
      </w:r>
    </w:p>
    <w:p>
      <w:r>
        <w:rPr>
          <w:b/>
        </w:rPr>
        <w:t>[Pages 4–5]</w:t>
      </w:r>
    </w:p>
    <w:p>
      <w:r>
        <w:t>third parties10. The competition authorities, both European and national, have left open the question of the precise delineation of markets in this sector, with several segmentations being considered11.</w:t>
      </w:r>
    </w:p>
    <w:p>
      <w:r>
        <w:t>16. A broad market for the distribution of insurance products by independent intermediaries, including all distribution channels (agents, brokers, and other intermediaries including banks), but excluding direct distribution by insurance companies, has thus been identified by decision-making practice12. A market limited to insurance brokerage and including only this distribution channel has also been considered.</w:t>
      </w:r>
    </w:p>
    <w:p>
      <w:r>
        <w:t>17. The markets for the distribution of insurance products can also be segmented according to the category of risks insured (property insurance and personal insurance) and according to the clientele (businesses or individuals).</w:t>
      </w:r>
    </w:p>
    <w:p>
      <w:r>
        <w:t>18. In the present case, the parties to the transaction are simultaneously active in the markets for the distribution on behalf of third parties of provident insurance and dependency insurance:</w:t>
        <w:br/>
        <w:t>- the provident insurance market includes insurance products intended to cover beneficiaries against loss of income in the event of an accident, death, long-term illness, disability, incapacity, or loss of employment through the payment of compensation in the form of a lump sum or annuity. The risk covered is that of an unpredictable loss of income suffered by the beneficiary or their heirs. This may involve either group insurance contracts or individual insurance contracts;</w:t>
        <w:br/>
        <w:t>- the dependency insurance market includes guarantees aimed at providing a benefit, in the form of a lump sum or annuity, to the beneficiary in the event of total or partial, permanent or temporary loss of autonomy. This may involve either group insurance contracts or individual insurance contracts.</w:t>
      </w:r>
    </w:p>
    <w:p>
      <w:r>
        <w:t>19. Regarding their geographical delineations, the markets for the distribution of insurance products have been considered primarily as being of national dimension.</w:t>
      </w:r>
    </w:p>
    <w:p>
      <w:r>
        <w:t>20. The question of the exact delineation of the markets for the distribution of insurance products may be left open insofar as, regardless of the delineation adopted, the conclusions of the competitive analysis remain unchanged.</w:t>
      </w:r>
    </w:p>
    <w:p>
      <w:r>
        <w:t>III. Competitive Analysis</w:t>
        <w:br/>
        <w:t>A. THE MARKETS FOR PERSONAL INSURANCE PRODUCTS</w:t>
        <w:br/>
        <w:t>21. The market shares of the parties in the markets where their activities overlap are reproduced in the table below:</w:t>
      </w:r>
    </w:p>
    <w:p>
      <w:r>
        <w:t>Markets – 2012 (value) Eovi MCD New entity</w:t>
        <w:br/>
        <w:t>Individual contracts [0-5] % [0-5] % [0-5] %</w:t>
        <w:br/>
        <w:t>Supplementary health</w:t>
        <w:br/>
        <w:t>Collective contracts [0-5] % [0-5] % [0-5] %</w:t>
        <w:br/>
        <w:t>Individual contracts [0-5] % [0-5] % [0-5] %</w:t>
        <w:br/>
        <w:t>Provident insurance</w:t>
        <w:br/>
        <w:t>Collective contracts [0-5] % [0-5] % [0-5] %</w:t>
      </w:r>
    </w:p>
    <w:p>
      <w:r>
        <w:t>22. In the two markets for supplementary health insurance, following the transaction, Eovi will continue to face competition from powerful operators such as Malakoff-Médéric, Axa, Harmonie Mutuelles, Humanis, or AG2R for collective contracts, and from MGEN, Groupama, Harmonies Mutuelles, Covéa, and Swiss Life for individual contracts.</w:t>
      </w:r>
    </w:p>
    <w:p>
      <w:r>
        <w:t>23. In the provident insurance markets, the parties are also confronted with competition from significant competitors such as Axa, Malakoff-Médéric, Groupama, Allianz, or AG2R.</w:t>
      </w:r>
    </w:p>
    <w:p>
      <w:r>
        <w:t>24. The transaction is therefore not likely to harm competition in the personal insurance markets.</w:t>
      </w:r>
    </w:p>
    <w:p>
      <w:r>
        <w:t>B. THE MARKETS FOR THE DISTRIBUTION OF INSURANCE PRODUCTS ON BEHALF OF THIRD PARTIES</w:t>
        <w:br/>
        <w:t>25. The distribution of insurance products on behalf of third parties represents a marginal share of the activity of the mutuals involved in the transaction.</w:t>
      </w:r>
    </w:p>
    <w:p>
      <w:r>
        <w:t>26. Their cumulative market share in the market for the distribution on behalf of third parties of provident products as well as in the market for the distribution on behalf of third parties of dependency insurance products is less than [0-5] %.</w:t>
      </w:r>
    </w:p>
    <w:p>
      <w:r>
        <w:t>27. Consequently, the transaction will not harm competition in the markets for the distribution of insurance products on behalf of third parties.</w:t>
      </w:r>
    </w:p>
    <w:p>
      <w:r>
        <w:t>DECIDES</w:t>
        <w:br/>
        <w:t>Sole Article: The operation notified under number 13-087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