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https://www.autoritedelaconcurrence.fr/fr/decision-de-controle-des-concentrations/relative-la-fusion-par-absorption-deovi-mutuelle-creusoise</w:t>
      </w:r>
    </w:p>
    <w:p>
      <w:r>
        <w:t>Pages translated : 9</w:t>
      </w:r>
    </w:p>
    <w:p/>
    <w:p>
      <w:r>
        <w:rPr>
          <w:b/>
        </w:rPr>
        <w:t>[Pages 1–3]</w:t>
      </w:r>
    </w:p>
    <w:p>
      <w:r>
        <w:t xml:space="preserve">FRENCH REPUBLIC  </w:t>
        <w:br/>
        <w:t xml:space="preserve">Decision No. 11-DCC-117 of July 26, 2011  </w:t>
        <w:br/>
        <w:t xml:space="preserve">regarding the merger by absorption of Eovi Mutuelle creusoise, Eovi  </w:t>
        <w:br/>
        <w:t xml:space="preserve">Mutuelle du Limousin, Eovi la Mif, Eovi Roanne Mutuelle, Eovi  </w:t>
        <w:br/>
        <w:t xml:space="preserve">Mutuelles Présence, Eovi Mutuelle Drôme Arpica  </w:t>
        <w:br/>
        <w:t xml:space="preserve">by Eovi Novalia Mutuelle  </w:t>
        <w:br/>
        <w:t xml:space="preserve">and the portfolio contribution of Eovi Languedoc Mutualité, union of  </w:t>
        <w:br/>
        <w:t>mutual societies, to Eovi Novalia Mutuelle</w:t>
      </w:r>
    </w:p>
    <w:p>
      <w:r>
        <w:t xml:space="preserve">The Competition Authority,  </w:t>
        <w:br/>
        <w:t xml:space="preserve">Having regard to the notification file submitted in full to the merger service on June 24, 2011,  </w:t>
        <w:br/>
        <w:t xml:space="preserve">regarding a merger by absorption of six mutual societies by Eovi Novalia Mutuelle and  </w:t>
        <w:br/>
        <w:t xml:space="preserve">the portfolio contribution by a union of mutual societies to Eovi Novalia Mutuelle;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w:t>
        <w:br/>
        <w:t xml:space="preserve">1. Eovi Mutuelle creusoise, Eovi Mutuelle du Limousin, Eovi la Mif, Eovi Roanne Mutuelle,  </w:t>
        <w:br/>
        <w:t xml:space="preserve">Eovi Mutuelles Présence, Eovi Mutuelle Drôme Arpica, and Eovi Novalia Mutuelle (hereinafter  </w:t>
        <w:br/>
        <w:t xml:space="preserve">“ENM”) are mutual societies governed by the provisions of the Code of Mutuality and notably  </w:t>
        <w:br/>
        <w:t xml:space="preserve">its Book II. They are primarily active in the field of risk coverage related to accidents (branch 1),  </w:t>
        <w:br/>
        <w:t xml:space="preserve">illness (branch 21), and death (branch 202). Most of them are also active in the sector of  </w:t>
        <w:br/>
        <w:t xml:space="preserve">distribution of insurance products on behalf of third parties.  </w:t>
        <w:br/>
        <w:t xml:space="preserve">1 See Article R. 211-2 of the Code of Mutuality.  </w:t>
        <w:br/>
        <w:t>2 See the aforementioned article.</w:t>
      </w:r>
    </w:p>
    <w:p>
      <w:r>
        <w:t xml:space="preserve">2. Eovi Languedoc Mutualité is a union of mutual societies governed by Book II of the Code of  </w:t>
        <w:br/>
        <w:t xml:space="preserve">Mutuality, active in the field of risk coverage related to accidents (branch 1), illness (branch 23) […]4.  </w:t>
        <w:br/>
        <w:t xml:space="preserve">3. Some of the aforementioned mutual societies have created mutual societies or unions of mutual  </w:t>
        <w:br/>
        <w:t xml:space="preserve">societies under Book III of the Code of Mutuality offering social services and access to healthcare  </w:t>
        <w:br/>
        <w:t xml:space="preserve">with a focus on prevention and protection of individuals. Although the management structures  </w:t>
        <w:br/>
        <w:t xml:space="preserve">dedicated to these activities are separate from those of the so-called "Book II" mutual societies5, it emerges  </w:t>
        <w:br/>
        <w:t xml:space="preserve">from the elements provided by the parties that the founding mutual societies remain, in some cases,  </w:t>
        <w:br/>
        <w:t xml:space="preserve">able to exercise decisive influence, within the meaning of merger control law, over certain unions of  </w:t>
        <w:br/>
        <w:t xml:space="preserve">Book III mutual societies that they have contributed to create. Indeed, within a union of mutual societies,  </w:t>
        <w:br/>
        <w:t xml:space="preserve">the member mutuals appoint the delegates sitting in the general assembly, who themselves elect the  </w:t>
        <w:br/>
        <w:t xml:space="preserve">members of the board of directors. Some of the mutual societies absorbed by ENM during this merger-  </w:t>
        <w:br/>
        <w:t xml:space="preserve">absorption operation are able to control these decision-making bodies given the number of delegates and  </w:t>
        <w:br/>
        <w:t xml:space="preserve">board members they appoint and the majority requirements for key strategic decisions (level and rate of  </w:t>
        <w:br/>
        <w:t xml:space="preserve">contributions, benefits offered, portfolio transfer, statutory amendments, etc.). Following the operation  </w:t>
        <w:br/>
        <w:t xml:space="preserve">described below, ENM will replace the absorbed mutual societies or will join the Book III unions of mutual  </w:t>
        <w:br/>
        <w:t xml:space="preserve">societies of which they were members. It is therefore necessary to examine whether, after the merger,  </w:t>
        <w:br/>
        <w:t xml:space="preserve">ENM will retain control of these Book III unions of mutual societies6 and, if applicable, integrate their  </w:t>
        <w:br/>
        <w:t xml:space="preserve">activity scopes into the competitive analysis.  </w:t>
        <w:br/>
        <w:t xml:space="preserve">4. Eovi Services et Soins is a Book III union of mutual societies composed of three mutual societies:  </w:t>
        <w:br/>
        <w:t xml:space="preserve">Eovi Mutuelle Drôme Arpica (hereinafter “EMDA”), ENM, and the Mutuelle des Usines des  </w:t>
        <w:br/>
        <w:t xml:space="preserve">Auréats de Valence. Prior to the operation, Eovi Services et Soins is controlled by EMDA as it appoints  </w:t>
        <w:br/>
        <w:t xml:space="preserve">174 of the 176 delegates, the remaining two being appointed by the other two mutual societies. Similarly,  </w:t>
        <w:br/>
        <w:t xml:space="preserve">within the Board of Directors of Eovi Services et Soins, 21 out of 22 members come from EMDA.  </w:t>
        <w:br/>
        <w:t xml:space="preserve">As a result of the operation, the absorption of EMDA by ENM will mean that ENM will become the  </w:t>
        <w:br/>
        <w:t xml:space="preserve">majority mutual in the governance bodies of Eovi Services et Soins and will hold exclusive control over it.  </w:t>
        <w:br/>
        <w:t xml:space="preserve">Eovi Services et Soins manages a network of services and care in the Drôme, including residences for  </w:t>
        <w:br/>
        <w:t xml:space="preserve">the elderly, dental offices, optical and/or hearing centers, as well as home services (hospitalization,  </w:t>
        <w:br/>
        <w:t xml:space="preserve">nursing care, assistance).  </w:t>
        <w:br/>
        <w:t xml:space="preserve">5. Eovi Services et Soins UGEF is a Book III union composed of one mutual society, EMDA, and a  </w:t>
        <w:br/>
        <w:t xml:space="preserve">union of Book III mutual societies, Eovi Services et Soins, mentioned above. To date, Eovi Services et  </w:t>
        <w:br/>
        <w:t xml:space="preserve">Soins UGEF is jointly controlled by EMDA and Eovi Services et Soins, each appointing 15 of the 30  </w:t>
        <w:br/>
        <w:t xml:space="preserve">delegates sitting in the general assembly. On the board of directors, 7 directors come from EMDA and 8  </w:t>
        <w:br/>
        <w:t xml:space="preserve">from Eovi Services et Soins. It is planned that following the proposed merger, ENM will become a member  </w:t>
        <w:br/>
        <w:t xml:space="preserve">of Eovi Services et Soins UGEF in place of EMDA. After the operation, Eovi Services et Soins UGEF will  </w:t>
        <w:br/>
        <w:t xml:space="preserve">therefore be a union of Book III mutual societies between ENM and Eovi Services et Soins, a union of  </w:t>
        <w:br/>
        <w:t xml:space="preserve">Book III itself exclusively controlled by ENM. This entity will therefore be controlled by ENM and  </w:t>
        <w:br/>
        <w:t xml:space="preserve">its scope of activities integrated into the competitive analysis, managing a network of services and care in  </w:t>
        <w:br/>
        <w:t xml:space="preserve">the Drôme, including residences for disabled persons.  </w:t>
        <w:br/>
        <w:t xml:space="preserve">6. Eovi Réalisations Mutualistes is a Book III union composed of one mutual society, ENM, and a  </w:t>
        <w:br/>
        <w:t xml:space="preserve">union of Book II mutual societies, Eovi Régime Obligatoire (Eovi RO). The general assembly of Eovi  </w:t>
        <w:br/>
        <w:t xml:space="preserve">Réalisations Mutualistes is composed of two colleges: the first, whose members are appointed by Eovi RO  </w:t>
        <w:br/>
        <w:t xml:space="preserve">(currently six delegates), appointing four members to the Board of Directors; the second college appointed  </w:t>
        <w:br/>
        <w:t xml:space="preserve">by ENM (currently ten delegates), appointing eight members of the Board of Directors. It should be noted  </w:t>
        <w:br/>
        <w:t xml:space="preserve">that Eovi RO must be dissolved at the end of this operation and that Eovi Services et Soins will become a  </w:t>
        <w:br/>
        <w:t xml:space="preserve">member of Eovi Réalisations Mutualistes in its place, thus appointing the members of the first college.  </w:t>
        <w:br/>
        <w:t xml:space="preserve">Thus, after the proposed merger, Eovi Réalisations Mutualistes will therefore be a union of Book III mutual  </w:t>
        <w:br/>
        <w:t xml:space="preserve">societies between ENM and Eovi Services et Soins, itself controlled by ENM. The operation will not  </w:t>
        <w:br/>
        <w:t xml:space="preserve">change the nature of the control exercised over Eovi Réalisations Mutualistes by ENM and falls within the  </w:t>
        <w:br/>
        <w:t xml:space="preserve">scope of its activities taken into account for the competitive analysis. These activities consist of managing a  </w:t>
        <w:br/>
        <w:t>network of care: optical, hearing correction, and dental health centers in the Southeast of France.</w:t>
      </w:r>
    </w:p>
    <w:p>
      <w:r>
        <w:t xml:space="preserve">II. The operation  </w:t>
        <w:br/>
        <w:t xml:space="preserve">7. The notified operation consists, on the one hand, of the merger of the seven aforementioned mutual  </w:t>
        <w:br/>
        <w:t xml:space="preserve">societies in favor of ENM and, on the other hand, of the contribution of the portfolio of membership  </w:t>
        <w:br/>
        <w:t xml:space="preserve">applications and the obligations attached to it from Eovi Languedoc Mutualité, a union of mutual societies,  </w:t>
        <w:br/>
        <w:t xml:space="preserve">to ENM. Eovi Languedoc Mutualité cannot, due to its status as a union of mutual societies, merge with ENM.  </w:t>
        <w:br/>
        <w:t xml:space="preserve">At the end of these two operations, the new entity will be named “Eovi Mutuelle.”  </w:t>
        <w:br/>
        <w:t xml:space="preserve">8. These operations do not have a reciprocal legal link; however, and in accordance with the consolidated  </w:t>
        <w:br/>
        <w:t xml:space="preserve">communication of the European Commission, “the interdependence of multiple operations may appear in  </w:t>
        <w:br/>
        <w:t xml:space="preserve">light of the statements made by the parties themselves or the simultaneous conclusion of the agreements in  </w:t>
        <w:br/>
        <w:t xml:space="preserve">question”7. The European Commission indicates that “operations that constitute a whole based on the  </w:t>
        <w:br/>
        <w:t xml:space="preserve">economic objectives pursued by the parties must also be assessed within the framework of a single procedure.  </w:t>
        <w:br/>
        <w:t xml:space="preserve">In these cases, the modification of the market structure is induced by all these operations taken together.”8.  </w:t>
        <w:br/>
        <w:t xml:space="preserve">9. In the case at hand, the merger by absorption of the six mutual societies in favor of ENM and the  </w:t>
        <w:br/>
        <w:t xml:space="preserve">portfolio contribution operation of the union of mutual societies Eovi Languedoc Mutualité are  </w:t>
        <w:br/>
        <w:t xml:space="preserve">concomitant, desired, and organized as such by the parties. It should be noted that each of the six merger  </w:t>
        <w:br/>
        <w:t xml:space="preserve">agreements in favor of ENM, signed between April 7 and 30, 2011, states that the contribution operation of  </w:t>
        <w:br/>
        <w:t xml:space="preserve">the union of mutual societies Eovi Languedoc Mutualité dated March 31, 2011, is correlated to the merger  </w:t>
        <w:br/>
        <w:t xml:space="preserve">in terms of the reasons and objectives pursued. The minutes of the general assemblies of the eight mutual  </w:t>
        <w:br/>
        <w:t xml:space="preserve">societies or union of mutual societies concerned ratify the creation of Eovi Mutuelle in its entirety and in  </w:t>
        <w:br/>
        <w:t xml:space="preserve">the same terms emphasizing  </w:t>
        <w:br/>
        <w:t xml:space="preserve">7 Paragraphs 43 and following of the consolidated communication of the European Commission on the competence of the Commission  </w:t>
        <w:br/>
        <w:t xml:space="preserve">under Council Regulation (EC) No. 139/2004 concerning the control of concentrations between undertakings  </w:t>
        <w:br/>
        <w:t>8 Point 40 of the aforementioned communication of the European Commission.</w:t>
      </w:r>
    </w:p>
    <w:p>
      <w:r>
        <w:rPr>
          <w:b/>
        </w:rPr>
        <w:t>[Pages 4–6]</w:t>
      </w:r>
    </w:p>
    <w:p>
      <w:r>
        <w:t>that the unanimous boards of directors of Eovi Mutuelle creusoise, Eovi Mutuelle du Limousin, Eovi La Mif, Eovi Roanne Mutuelle, Eovi mutuelles Présence, Eovi Mutuelle Drôme Arpica, ENM, and Eovi Languedoc Mutualité – Union des Mutuelles Santé "have decided to merge and create Eovi Mutuelle. In a political period of seeking new distributions of responsibilities between mandatory and complementary social protection, and reform of the health system, the partner mutuals are taking a new step for new ambitions." Furthermore, the aforementioned eight entities have filed a joint petition with the Tribunal de Grande Instance of Avignon appointing a single and unique merger auditor, in accordance with the requirements of Article L. 113-2 of the Code de la Mutualité within the framework of a merger operation.</w:t>
      </w:r>
    </w:p>
    <w:p>
      <w:r>
        <w:t>10. In light of the various factual elements contained in the notification file, it can therefore be considered that these two operations constitute a single operation.</w:t>
      </w:r>
    </w:p>
    <w:p>
      <w:r>
        <w:t>11. Insofar as it results in the merger-absorption of six previously independent mutual societies by ENM and the transfer of the entire portfolio of membership applications and contracts of Eovi Languedoc Mutualité to the benefit of ENM, the notified operation constitutes a concentration within the meaning of Article L. 430-1 of the Commercial Code.</w:t>
      </w:r>
    </w:p>
    <w:p>
      <w:r>
        <w:t>12. The companies concerned together achieve a total turnover excluding taxes on a global scale of more than 150 million euros for the fiscal year ending December 31, 2010 (ENM: […] million euros, Eovi Mutuelle creusoise: […] million euros, Eovi Mutuelle du Limousin: […] million euros, Eovi La Mif: […] million euros, Eovi Roanne Mutuelle: […] million euros, Eovi Mutuelles Présence: […] million euros, Eovi Mutuelle Drôme Arpica: […] million euros, Eovi Languedoc Mutualité: […] million euros, Eovi Réalisations Mutualistes: […] million euros, Eovi Services et Soins: […] million euros, Eovi Services et Soins UGEF: […] million euros). These turnovers have been entirely realized in France, and the threshold of 50 million euros achieved individually by at least two of the mutual societies concerned is also exceeded. Given the above,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III. Delimitation of Relevant Markets</w:t>
      </w:r>
    </w:p>
    <w:p>
      <w:r>
        <w:t>13. The mutual societies involved in the operation are simultaneously active in the market for personal insurance products and in the market for the distribution of insurance products on behalf of third parties. Furthermore, the links maintained by the parties with unions of mutual societies under Book III lead to potential overlaps in various markets for services related to the social action of mutual societies (dental surgery, audioprosthetic services, optics).</w:t>
      </w:r>
    </w:p>
    <w:p>
      <w:r>
        <w:t>A. THE MARKETS FOR PERSONAL INSURANCE PRODUCTS</w:t>
      </w:r>
    </w:p>
    <w:p>
      <w:r>
        <w:t>14. National and community competition authorities consistently distinguish three main categories of insurance products: personal insurance, property insurance, and reinsurance.</w:t>
      </w:r>
    </w:p>
    <w:p>
      <w:r>
        <w:t>15. Regarding the first two categories of products, competition authorities have determined that they can be segmented into as many markets as there are insurances covering the different types of risks, insofar as, from the demand perspective, insurances covering these different risks are not substitutable.</w:t>
      </w:r>
    </w:p>
    <w:p>
      <w:r>
        <w:t>16. Concerning the market for personal insurance, an additional segmentation can be made between group insurance contracts, concluded between an insurer and a subscriber distinct from the beneficiary, and individual insurance contracts where the subscriber is also the beneficiary.</w:t>
      </w:r>
    </w:p>
    <w:p>
      <w:r>
        <w:t>17. In the case at hand, the activities of the parties to the operation in the field of personal insurance overlap in the following segments:</w:t>
        <w:br/>
        <w:t>- the market for complementary health insurance which aims to supplement the benefits offered by mandatory health insurance schemes. The risk covered corresponds to the costs not covered by social security incurred for medical treatment, and the complementary reimbursements depend on the benefits of the legal social security scheme. This may involve either group insurance contracts or individual insurance contracts;</w:t>
        <w:br/>
        <w:t>- the market for funeral insurance which is intended to cover funeral expenses and provide assistance for all procedures and formalities related to death.</w:t>
      </w:r>
    </w:p>
    <w:p>
      <w:r>
        <w:t>18. In any case, the exact definition of each of the markets examined in this decision can be left open, as the conclusions of the competitive analysis will remain unchanged regardless of the segmentations retained.</w:t>
      </w:r>
    </w:p>
    <w:p>
      <w:r>
        <w:t>19. Regarding the geographical delimitation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or regulatory systems.</w:t>
      </w:r>
    </w:p>
    <w:p>
      <w:r>
        <w:t>20. There is no need to challenge these delimitations in the context of the present operation.</w:t>
      </w:r>
    </w:p>
    <w:p>
      <w:r>
        <w:t>B. THE MARKETS FOR THE DISTRIBUTION OF INSURANCE PRODUCTS ON BEHALF OF THIRD PARTIES</w:t>
      </w:r>
    </w:p>
    <w:p>
      <w:r>
        <w:t>21. The distribution of insurance products consists of marketing and managing the administrative aspects of guarantees or insurance contracts whose risk is borne by insurers. The competition authorities, both at the community and national levels, have left open the question of the precise delineation of markets in this sector, with several segmentations being considered.</w:t>
      </w:r>
    </w:p>
    <w:p>
      <w:r>
        <w:t>22. A broad market for the distribution of insurance products by independent intermediaries, including all distribution channels (agents, brokers, and other intermediaries including banks), with the exception of direct distribution by insurance companies, has thus been identified.</w:t>
      </w:r>
    </w:p>
    <w:p>
      <w:r>
        <w:t>23. The markets for the distribution of insurance products can also be segmented according to the category of risks insured (property insurance and personal insurance) and according to the clientele (businesses or individuals).</w:t>
      </w:r>
    </w:p>
    <w:p>
      <w:r>
        <w:t>24. In the case at hand, the parties to the operation are simultaneously active in the markets for the distribution on behalf of third parties of retirement savings and provident guarantees:</w:t>
        <w:br/>
        <w:t>- the market for retirement savings ensuring the beneficiary an annuity in addition to those paid to them under their mandatory basic retirement and their mandatory complementary retirement. This may involve collective contracts or individual contracts;</w:t>
        <w:br/>
        <w:t>- the market for provident insurance which encompasses insurance products intended to cover beneficiaries against a loss of income in the event of an accident, death, long-term illness, disability, incapacity, or loss of employment through the payment of compensation in the form of a capital sum or annuity. The risk covered is that of an unpredictable loss of income suffered by the beneficiary or their heirs. This may involve either group insurance contracts or individual insurance contracts.</w:t>
      </w:r>
    </w:p>
    <w:p>
      <w:r>
        <w:t>25. However, it is not necessary to resolve the question of the exact delimitation of the markets for the distribution of insurance products within the framework of this decision.</w:t>
      </w:r>
    </w:p>
    <w:p>
      <w:r>
        <w:t>26. Regarding their geographical delimitations, the markets for the distribution of insurance products have been considered essentially to be of national dimension.</w:t>
      </w:r>
    </w:p>
    <w:p>
      <w:r>
        <w:t>27. There is no need to challenge these delimitations in the context of the present operation.</w:t>
      </w:r>
    </w:p>
    <w:p>
      <w:r>
        <w:t>C. OTHER MARKETS FOR SERVICES UNDER THE SOCIAL ACTION OF BOOK III MUTUAL SOCIETIES</w:t>
      </w:r>
    </w:p>
    <w:p>
      <w:r>
        <w:t>28. The unions of mutual societies under Book III of the Code of Mutuality and controlled by the new entity after the operation are simultaneously active in the following health and social actions: dental practices, optical centers, and hearing centers.</w:t>
      </w:r>
    </w:p>
    <w:p>
      <w:r>
        <w:t>29. Regarding the accommodation of elderly persons, two of the unions of mutual societies under Book III involved in the operation are active in this market. However, both of these structures are controlled by the same mutual society prior to the merger, which will be absorbed by ENM, which is otherwise absent from these markets. The operation therefore does not entail any additional overlap in this market that needs to be more precisely delineated and specifically analyzed.</w:t>
      </w:r>
    </w:p>
    <w:p>
      <w:r>
        <w:rPr>
          <w:b/>
        </w:rPr>
        <w:t>[Pages 7–9]</w:t>
      </w:r>
    </w:p>
    <w:p>
      <w:r>
        <w:t xml:space="preserve">1. MARKETS FOR SERVICES PROVIDED BY DENTISTS  </w:t>
        <w:br/>
        <w:t xml:space="preserve">30. Article L. 4141-1 of the Public Health Code provides that dentists have the monopoly on the practice of dental art, which includes the prevention, diagnosis, and treatment of congenital or acquired diseases, real or presumed, of the mouth, teeth, jaws, and adjacent tissues.  </w:t>
        <w:br/>
        <w:t xml:space="preserve">31. In a contentious decision, the Competition Authority13 considered it feasible to define several markets for services related to dental art, with the providers being dentists and the demand coming from patients.  </w:t>
        <w:br/>
        <w:t xml:space="preserve">32. In any case, the question of the delineation of this market can be left open due to its lack of impact on the competitive analysis.  </w:t>
        <w:br/>
        <w:t>33. Regarding the geographical delineation of the market, the Competition Authority believes that it is "most likely often local, limited by the constraints of the applicants' travel"14. In this hypothesis, the operation does not lead to any overlap in activity, as the dental practices of Eovi Services and Soins and Eovi Réalisations Mutualistes are located in different departments, namely in Drôme and Vaucluse.</w:t>
      </w:r>
    </w:p>
    <w:p>
      <w:r>
        <w:t xml:space="preserve">2. MARKETS FOR SERVICES PROVIDED BY AUDIOPROTHESISTS  </w:t>
        <w:br/>
        <w:t xml:space="preserve">34. According to Article L. 4361-1 of the Public Health Code, "any person who fits hearing-impaired individuals with hearing aids is considered to be exercising the profession of audioprothesist."  </w:t>
        <w:br/>
        <w:t xml:space="preserve">35. In the absence of decisional practice on this type of activity, a market for services provided by audioprothesists can be considered in the present decision, linking audioprothesists and their patients. However, this question can be left open, as the operation is not likely to significantly alter the structure of these markets regardless of the hypothesis adopted.  </w:t>
        <w:br/>
        <w:t>36. By analogy with the market for services provided by dentists, the geographical delineation of this market could be local and at most departmental. In this hypothesis, the operation does not result in overlaps in activity, as this type of service is offered in different departments.</w:t>
      </w:r>
    </w:p>
    <w:p>
      <w:r>
        <w:t xml:space="preserve">3. MARKETS FOR SERVICES PROVIDED BY OPTICIANS  </w:t>
        <w:br/>
        <w:t xml:space="preserve">37. According to Article L. 4362-1 of the Public Health Code, "a list of this profession is established for each department, by the service or organization designated for this purpose, and made known to the public. An optician cannot be registered in more than one department."  </w:t>
        <w:br/>
        <w:t xml:space="preserve">13 See decision No. 09-D-07 of February 12, 2009, regarding a referral from the company Santéclair concerning practices implemented in the market for complementary health insurance.  </w:t>
        <w:br/>
        <w:t>14 See the aforementioned decision.</w:t>
      </w:r>
    </w:p>
    <w:p>
      <w:r>
        <w:t xml:space="preserve">38. In the absence of decisional practice on this type of activity, a potential market for services provided by opticians can be proposed for analysis without needing to conclude on the existence of such a market in the context of the present operation.  </w:t>
        <w:br/>
        <w:t>39. By analogy with the markets for services provided by dentists and audioprothesists, the geographical delineation of this market could be local, or even departmental according to the parties. In this hypothesis, no overlap in activity results from the present operation.</w:t>
      </w:r>
    </w:p>
    <w:p>
      <w:r>
        <w:t xml:space="preserve">IV. Competitive Analysis  </w:t>
        <w:br/>
        <w:t xml:space="preserve">40. The market shares of the parties are expressed in contributions issued for the year 2009.  </w:t>
        <w:br/>
        <w:t xml:space="preserve">A. MARKETS FOR PERSONAL INSURANCE PRODUCTS  </w:t>
        <w:br/>
        <w:t xml:space="preserve">41. Regarding the markets for collective complementary health insurance, the market share of the new entity is estimated at [0-5]% after the merger. Regarding individual complementary health insurance contracts, the market share of the new entity amounts to [0-5]%.  </w:t>
        <w:br/>
        <w:t xml:space="preserve">42. In these two markets, ENM will continue to face competition from powerful operators such as Groupama, Harmonie Mutualité, Swiss Life, and the Union Mutualiste de Groupe15 in the individual complementary health market, or Axa, Malakoff Médéric, or AG2R La Mondiale in the market for collective contracts.  </w:t>
        <w:br/>
        <w:t xml:space="preserve">43. In the markets for funeral insurance, whether collective or individual, the positions of the future entity will be marginal and, in any case, below [0-5]% in each of these markets.  </w:t>
        <w:br/>
        <w:t xml:space="preserve">44. The operation is therefore not likely to harm competition in the markets for personal insurance.  </w:t>
        <w:br/>
        <w:t xml:space="preserve">B. MARKETS FOR THE DISTRIBUTION OF INSURANCE PRODUCTS ON BEHALF OF THIRD PARTIES  </w:t>
        <w:br/>
        <w:t xml:space="preserve">45. The distribution of insurance products on behalf of third parties represents a marginal part of the activity of the mutuals involved in the operation. The total contributions issued in 2009 for the distribution of individual retirement savings guarantees do not exceed [10-20] million euros, representing a market share of less than [0-5]%. The amounts issued for collective contracts amount to […] million euros, representing a market share of [0-5]%.  </w:t>
        <w:br/>
        <w:t xml:space="preserve">46. In the markets for guarantee products for prevention, both collective and individual, the market share of the new entity remains well below [0-5]%.  </w:t>
        <w:br/>
        <w:t>15 Formed by the groups MGEN, MNH, MNT, MGET, and MAEE.</w:t>
      </w:r>
    </w:p>
    <w:p>
      <w:r>
        <w:t xml:space="preserve">47. Consequently, the operation will not harm competition in the markets for the distribution of insurance products on behalf of third parties.  </w:t>
        <w:br/>
        <w:t xml:space="preserve">DECIDES  </w:t>
        <w:br/>
        <w:t xml:space="preserve">Single Article: The operation notified under number 11-0067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