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https://www.autoritedelaconcurrence.fr/fr/decision-de-controle-des-concentrations/relative-la-fusion-par-absorption-des-mutuelles-harmonie</w:t>
      </w:r>
    </w:p>
    <w:p>
      <w:r>
        <w:t>Pages translated : 6</w:t>
      </w:r>
    </w:p>
    <w:p/>
    <w:p>
      <w:r>
        <w:rPr>
          <w:b/>
        </w:rPr>
        <w:t>[Pages 1–3]</w:t>
      </w:r>
    </w:p>
    <w:p>
      <w:r>
        <w:t xml:space="preserve">FRENCH REPUBLIC  </w:t>
        <w:br/>
        <w:t xml:space="preserve">Decision No. 12-DCC-111 of August 3, 2012  </w:t>
        <w:br/>
        <w:t xml:space="preserve">regarding the merger by absorption of the mutual societies Harmonie Mutualité,  </w:t>
        <w:br/>
        <w:t>Mutuelle Existence, Prévadiès, Santévie, Santévie MP, and Spheria Val-de-France by Harmonie Mutuelle</w:t>
      </w:r>
    </w:p>
    <w:p>
      <w:r>
        <w:t xml:space="preserve">The Competition Authority,  </w:t>
        <w:br/>
        <w:t xml:space="preserve">Having regard to the notification file submitted in full to the concentrations service on July 6, 2012,  </w:t>
        <w:br/>
        <w:t xml:space="preserve">regarding a merger by absorption operation, with portfolio transfer, of six mutual societies by the mutual society Harmonie Mutuelle, formalized by six draft merger agreements dated June 1, 2012;  </w:t>
        <w:br/>
        <w:t xml:space="preserve">Having regard to Book IV of the Commercial Code relating to price freedom and competition,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A. THE CONCERNED COMPANIES  </w:t>
        <w:br/>
        <w:t xml:space="preserve">1. Harmonie Mutuelle, Harmonie Mutualité, Mutuelle Existence, Prévadiès, Santévie, Santévie MP, and Spheria Val-de-France are mutual societies governed by the provisions of the Code of Mutuality and in particular its Book II. They are primarily active in the field of coverage for risks related to accidents (branch 1), illness (branch 21), and death (branch 202). Most of them are also active in the sector of distributing insurance products on behalf of third parties.  </w:t>
        <w:br/>
        <w:t xml:space="preserve">1 See Article R. 211-2 of the Code of Mutuality.  </w:t>
        <w:br/>
        <w:t>2 See the aforementioned article.</w:t>
      </w:r>
    </w:p>
    <w:p>
      <w:r>
        <w:t xml:space="preserve">2. The parties to the operation are also members of various mutual societies and unions of mutual societies under Book III of the Code of Mutuality, in which they exercise a decisive influence. Following the operation, Harmonie Mutuelle will replace the absorbed mutual societies or join the unions of mutual societies under Book III of which they were members and will exercise a decisive influence therein.  </w:t>
        <w:br/>
        <w:t xml:space="preserve">B. THE OPERATION  </w:t>
        <w:br/>
        <w:t xml:space="preserve">3. According to the merger agreements dated June 1, 2012, Harmonie Mutualité, Mutuelle Existence, Prévadiès, Santévie, Santévie MP, and Spheria Val-de-France have committed to transferring, on December 31, 2012, all portfolios of mutual guarantees related to the membership certificates and group contracts of each of them to Harmonie Mutuelle.  </w:t>
        <w:br/>
        <w:t xml:space="preserve">4. These operations do not have a reciprocal legal link; however, and in accordance with the provisions of the consolidated communication of the European Commission, "the interdependence of multiple operations may appear in light of the statements made by the parties themselves or the simultaneous conclusion of the agreements in question." The European Commission indicates that "operations that constitute a whole based on the economic objectives pursued by the parties must also be assessed within the framework of a single procedure. In these cases, the modification of the market structure is induced by the entirety of these operations taken together." In the present case, the merger by absorption of six mutual societies by Harmonie Mutuelle and the portfolio contribution operation of these mutual societies to Harmonie Mutuelle are concurrent, intended, and organized by the parties as a global operation forming part of a "global project." These operations therefore constitute a single operation.  </w:t>
        <w:br/>
        <w:t xml:space="preserve">5. Insofar as it results in the merger-absorption of six previously independent mutual societies by Harmonie Mutuelle, the notified operation constitutes a concentration within the meaning of Article L. 430-1 of the Commercial Code.  </w:t>
        <w:br/>
        <w:t xml:space="preserve">6. The concerned companies together achieve a total turnover excluding taxes on a global scale of more than 150 million euros for the fiscal year ending December 31, 2011 (Harmonie Mutualité: […] euros for the fiscal year ending December 31, 2011; Mutuelle Existence: […] euros for the same fiscal year; Prévadiès: […] euros for the same fiscal year; Santévie: […] euros for the same fiscal year; Spheria Val-de-France: […] euros for the same fiscal year). These turnover figures have been entirely realized in France, and the turnover threshold of 50 million euros achieved individually by five of the seven concerned mutual societies (Harmonie Mutualité: […] euros for the fiscal year ending December 31, 2011; Mutuelle Existence: […] euros for the same fiscal year; Prévadiès: […] euros for the same fiscal year; Santévie: […] euros for the same fiscal year; Spheria Val-de-France: […] euros for the same fiscal year) is also exceeded. Given the above,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 xml:space="preserve">3 Paragraphs 43 and following of the consolidated communication of the European Commission on the competence of the Commission under Regulation (EC) No. 139/2004 of the Council concerning the control of concentrations between enterprises.  </w:t>
        <w:br/>
        <w:t>4 Point 40 of the aforementioned communication of the European Commission.</w:t>
      </w:r>
    </w:p>
    <w:p>
      <w:r>
        <w:t xml:space="preserve">II. Delimitation of Relevant Markets  </w:t>
        <w:br/>
        <w:t xml:space="preserve">7. National and European competition authorities distinguish between the markets for personal insurance, property insurance, and reinsurance.  </w:t>
        <w:br/>
        <w:t xml:space="preserve">8.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  </w:t>
        <w:br/>
        <w:t xml:space="preserve">9. In the present case, the parties to the operation are simultaneously active in the personal insurance sector in the markets for individual and group supplementary health insurance, in the markets for individual and group provident insurance, in the market for distributing insurance on behalf of third parties, and in the reinsurance market.  </w:t>
        <w:br/>
        <w:t xml:space="preserve">10. Various markets for health and social services are also concerned, under the health and social actions of the entities in Book III controlled by the notifying parties, primarily including the markets for services provided by dental surgeons, audioprosthetists, opticians, as well as the markets for ambulance services, long-term accommodation services for the elderly, rehabilitation and follow-up care centers, home nursing care, health facility care services, collective childcare services, and mutual pharmacies. In some of these areas, the Competition Authority has noted the importance of proximity in distribution. In this case, however, the parties operate these activities in different departments.  </w:t>
        <w:br/>
        <w:t xml:space="preserve">11. Consequently, the overlaps in activity of the parties to the operation occur only in the markets for personal insurance and the distribution of insurance products on behalf of third parties, and the effects of the operation will therefore be examined only in these markets.  </w:t>
        <w:br/>
        <w:t xml:space="preserve">A. THE MARKETS FOR PERSONAL INSURANCE PRODUCTS  </w:t>
        <w:br/>
        <w:t xml:space="preserve">12. Regarding the market for personal insurance, a further segmentation can be made between collective insurance contracts, concluded between an insurer and a subscriber distinct from the beneficiary, and individual insurance contracts where the subscriber is also the beneficiary.  </w:t>
        <w:br/>
        <w:t xml:space="preserve">5 See in particular the European Commission decision No. COMP/M.4284 Axa/Winterthur of August 28, 2006; the letter from the Minister of Economy, Finance, and Industry C2007-49 of August 21, 2007, to the councils of the AG2R Prévoyance Institute and the company La Mondiale, as well as the decision of the Competition Authority No. 10-DCC-52 of June 2, 2010, regarding the creation of a Mutual Insurance Group Company ("SGAM") by MACIF, MAIF, and MATMUT.  </w:t>
        <w:br/>
        <w:t xml:space="preserve">6 See the aforementioned decisions No. COMP/M.4284, C2007-49, and No. 10-DCC-52.  </w:t>
        <w:br/>
        <w:t>7 See the decisions of the Competition Authority No. 02-D-36 of June 14, 2002, regarding practices identified in the optical glasses distribution sector in the Lyon metropolitan area, No. 10-D-05 of January 27, 2010, regarding practices implemented in the ambulance transport sector in the Deux-Sèvres department, No. 10-D-22 of July 22, 2010, regarding practices implemented in the ambulance transport sector in Seine-Maritime, No. 10-DCC-132 of October 11, 2010, regarding the creation of two joint ventures by Domus Vi and GDP Vendôme, No. 10-DCC-179 of December 13, 2010, regarding the exclusive control acquisition of the Meditor group and Mieux-Vivre by Orpéa, and No. 11-DCC-117 of July 26, 2011, regarding the merger by absorption of Eovi Mutuelle creusoise, Eovi Mutuelle du Limousin, Eovi la Mif, Eovi Roanne Mutuelle, Eovi Mutuelles Présence, Eovi Mutuelle Drôme Arpica by Eovi Novalia Mutuelle and the portfolio contribution of Eovi Languedoc Mutualité, union of mutual societies, to Eovi Novalia Mutualle.</w:t>
      </w:r>
    </w:p>
    <w:p>
      <w:r>
        <w:rPr>
          <w:b/>
        </w:rPr>
        <w:t>[Pages 4–6]</w:t>
      </w:r>
    </w:p>
    <w:p>
      <w:r>
        <w:t xml:space="preserve">13. In the present case, the parties are simultaneously active in the markets for individual and group supplementary health insurance and in the markets for individual and group provident insurance8.  </w:t>
        <w:br/>
        <w:t xml:space="preserve">14. The exact definition of each of the markets examined in this decision can be left open, insofar as the conclusions of the competitive analysis will remain unchanged regardless of the segmentations adopted.  </w:t>
        <w:br/>
        <w:t xml:space="preserve">15. Regarding the geographical delimitation of the markets, with the exception of certain insurances covering large-scale risks, insurance product markets have been considered to be national in scope given consumer preferences, the existence of national legislation, and fiscal constraints, as well as the current structure of these markets or regulatory systems.  </w:t>
        <w:br/>
        <w:t>16. There is no reason to challenge these delimitations in the context of the present operation.</w:t>
      </w:r>
    </w:p>
    <w:p>
      <w:r>
        <w:t xml:space="preserve">B. THE MARKETS FOR THE DISTRIBUTION OF INSURANCE PRODUCTS ON BEHALF OF THIRD PARTIES  </w:t>
        <w:br/>
        <w:t xml:space="preserve">17. The distribution of insurance products involves marketing and ensuring the administrative management of guarantees or insurance contracts whose risk is borne by third-party insurers9. Both European and national competition authorities have left the question of the precise delimitation of markets in this sector open, with several segmentations being considered10.  </w:t>
        <w:br/>
        <w:t xml:space="preserve">18. A broad market for the distribution of insurance products by independent intermediaries, encompassing all distribution channels (agents, brokers, and other intermediaries including banks), except for direct distribution by insurance companies, has thus been identified by decision-making practice11. A market limited to insurance brokerage, including only this distribution channel, has also been considered.  </w:t>
        <w:br/>
        <w:t xml:space="preserve">19. The markets for the distribution of insurance products can also be segmented based on the category of insured risks (property insurance and personal insurance) and according to the clientele (businesses or individuals).  </w:t>
        <w:br/>
        <w:t xml:space="preserve">20. In the present case, the parties to the operation are simultaneously active in the markets for the distribution on behalf of third parties of employee savings guarantees, retirement savings, and provident insurance:  </w:t>
        <w:br/>
        <w:t xml:space="preserve">- the employee savings market, which is a savings system combining a collective framework defined at the company level and an individual initiative by the employee, with previous decision-making practice having considered that it does not fall within the realm of insurance;  </w:t>
        <w:br/>
        <w:t xml:space="preserve">8 See the letter from the Minister of Economy, Finance and Industry dated April 7, 2003, to the CEO of the insurance company La Mondiale and to the General Delegate of the provident institution AG2R Prévoyance.  </w:t>
        <w:br/>
        <w:t xml:space="preserve">9 See in particular the letter from the Minister of Economy C2008-77 dated October 28, 2008, to the boards of the company Mutuelle Harmonie Mutualité and the decision of the Competition Authority No. 10-DCC-138 dated October 19, 2010, regarding the exclusive control of MFPrévoyance by CNP assurances.  </w:t>
        <w:br/>
        <w:t xml:space="preserve">10 See in particular the aforementioned letter from the Minister C2008-77 and the aforementioned decision of the Authority No. 10-DCC-138.  </w:t>
        <w:br/>
        <w:t>11 See in particular the aforementioned decision No. 11-DCC-117.</w:t>
      </w:r>
    </w:p>
    <w:p>
      <w:r>
        <w:t xml:space="preserve">- the retirement savings market, which provides the beneficiary with an annuity in addition to those paid to them under their mandatory basic retirement and their mandatory supplementary retirement. This may involve collective contracts or individual contracts;  </w:t>
        <w:br/>
        <w:t xml:space="preserve">- the provident insurance market, which encompasses insurance products intended to cover beneficiaries against loss of income in the event of accident, death, long illness, disability, incapacity, or job loss through the payment of compensation in the form of a capital sum or annuity. The risk covered is that of an unpredictable loss of income suffered by the beneficiary or their heirs. This may involve either collective insurance contracts or individual insurance contracts.  </w:t>
        <w:br/>
        <w:t xml:space="preserve">21. Regarding their geographical delimitations, the markets for the distribution of insurance products have been considered essentially to be national in scope.  </w:t>
        <w:br/>
        <w:t>22. There is no reason to challenge these delimitations in the context of the present operation, and the question of the exact delimitation of the markets for the distribution of insurance products will be left open insofar as, regardless of the delimitation adopted, the conclusions of the competitive analysis remain unchanged.</w:t>
      </w:r>
    </w:p>
    <w:p>
      <w:r>
        <w:t xml:space="preserve">III. Competitive Analysis  </w:t>
        <w:br/>
        <w:t>23. Regarding the positions of the parties and their competitors, all market shares are calculated based on the premiums collected by the parties for the year 2011.</w:t>
      </w:r>
    </w:p>
    <w:p>
      <w:r>
        <w:t xml:space="preserve">A. THE MARKETS FOR PERSONAL INSURANCE PRODUCTS  </w:t>
        <w:br/>
        <w:t xml:space="preserve">24. In the market for supplementary health insurance, Harmonie Mutuelle is estimated to hold a market share of [5-10]% in the collective supplementary health insurance segment and [5-10]% in the individual supplementary health insurance segment. Harmonie Mutuelle will continue to face competition from powerful operators such as MGEN, Groupama, Swiss Life, and Covéa in the individual supplementary health insurance market, and from Malakoff-Médéric, Axa, Humanis, and AG2R-La Mondiale in the collective supplementary health insurance contracts market.  </w:t>
        <w:br/>
        <w:t xml:space="preserve">25. In the provident insurance market, Harmonie Mutuelle is estimated to hold a market share of [0-5]% in the collective provident market and [0-5]% in the individual provident market. Harmonie Mutuelle will continue to face competition from powerful operators such as Groupama-Gan, Axa, Allianz, ACM, and Generali in the individual segment and Axa, Malakoff-Médéric, ProBTP, Generali, and AG2R-La Mondiale in the collective segment.  </w:t>
        <w:br/>
        <w:t>26. Therefore, the operation is not likely to harm competition in the markets for supplementary health insurance and provident insurance.</w:t>
      </w:r>
    </w:p>
    <w:p>
      <w:r>
        <w:t xml:space="preserve">B. THE MARKETS FOR THE DISTRIBUTION OF INSURANCE PRODUCTS ON BEHALF OF THIRD PARTIES  </w:t>
        <w:br/>
        <w:t xml:space="preserve">27. The distribution of insurance products on behalf of third parties represents a marginal share of the activity of the mutuals involved in the operation. The companies concerned have totaled a total revenue of approximately […] million euros for this activity, and the new entity will represent a market share that the parties estimate to be less than [0-5]%. In any case, regardless of the segment corresponding to a type of insurance product managed or distributed on behalf of third parties, the market share of the new entity will be less than [0-5]%.  </w:t>
        <w:br/>
        <w:t>28. Therefore, the operation is not likely to harm competition in the markets for the distribution of insurance products on behalf of third parties.</w:t>
      </w:r>
    </w:p>
    <w:p>
      <w:r>
        <w:t xml:space="preserve">DECIDES  </w:t>
        <w:br/>
        <w:t xml:space="preserve">Single Article: The operation notified under number 12-097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