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https://www.autoritedelaconcurrence.fr/fr/decision-de-controle-des-concentrations/relative-la-fusion-par-absorption-des-mutuelles-sante-plus</w:t>
      </w:r>
    </w:p>
    <w:p>
      <w:r>
        <w:t>Pages translated : 4</w:t>
      </w:r>
    </w:p>
    <w:p/>
    <w:p>
      <w:r>
        <w:rPr>
          <w:b/>
        </w:rPr>
        <w:t>[Pages 1–3]</w:t>
      </w:r>
    </w:p>
    <w:p>
      <w:r>
        <w:t xml:space="preserve">FRENCH REPUBLIC  </w:t>
        <w:br/>
        <w:t xml:space="preserve">Decision No. 10-DCC-148 of November 15, 2010  </w:t>
        <w:br/>
        <w:t>regarding the merger by absorption of Mutuelles Santé Plus by Mutuelle de France-Sud</w:t>
      </w:r>
    </w:p>
    <w:p>
      <w:r>
        <w:t xml:space="preserve">The Competition Authority,  </w:t>
        <w:br/>
        <w:t xml:space="preserve">Having regard to the notification file submitted in full to the concentrations service on October 11, 2010, concerning the project of merger-absorption of Mutuelles Santé Plus by Mutuelle de France-Sud, formalized by a merger agreement dated September 27, 2010;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Mutuelle de France-Sud and Mutuelles Santé Plus are mutual insurance companies governed by the Mutuality Code and subject in particular to the provisions of its Book II. They are primarily active in the sector of coverage for bodily injury falling under insurance branches 1 (accidents, including workplace accidents and occupational diseases) and 2 (illness). Marginally, they also distribute insurance products on behalf of third parties and engage in social action activities. Mutuelle France Sud also engages in reinsurance activities and participates in the management of the mandatory health insurance scheme for merchants and artisans in accordance with Article L. 111-1 4° of the Mutuality Code.  </w:t>
        <w:br/>
        <w:t xml:space="preserve">2. The notified operation consists of the merger-absorption of Mutuelles Santé Plus by Mutuelle de France Sud resulting in the transfer of the entire portfolio of membership bulletins and contracts of Mutuelles Santé Plus to the benefit of Mutuelle France Sud, with retroactive effect from January 1, 2010.  </w:t>
        <w:br/>
        <w:t>3. Insofar as it results in the merger absorption of Mutuelles Santé Plus by Mutuelle France Sud, the notified operation constitutes a concentration within the meaning of Article L. 430-1 of the Commercial Code. The concerned companies together achieved a global turnover excluding taxes exceeding 150 million euros in 2009 (1Mutuelle de France-Sud: 103.2 million euros; Mutuelle Santé Plus: 85.3 million euros). Since these turnovers were entirely achieved in France, the turnover achieved by each of these two companies in France is therefore over 50 million euros. Given the turnovers of the companies concerned, the operation does not have a Community dimension. However, the control thresholds mentioned by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4. Mutuelle de France Sud and Mutuelles Santé Plus are simultaneously present in the insurance product markets and, more marginally, in the markets for the distribution of insurance products on behalf of third parties. Furthermore, Mutuelle de France Sud is also present, in a very marginal way, in the reinsurance markets. However, the present operation does not result in any overlap of activity in these markets, as the target mutual does not engage in reinsurance activities. National and Community competition authorities have already examined concentrations in this sector.</w:t>
      </w:r>
    </w:p>
    <w:p>
      <w:r>
        <w:t xml:space="preserve">A. MARKET DEFINITION  </w:t>
        <w:br/>
        <w:t xml:space="preserve">1. INSURANCE PRODUCT MARKETS  </w:t>
        <w:br/>
        <w:t xml:space="preserve">5. The decision-making practice, both at the Community and national levels, distinguishes within insurance activities between the markets for reinsurance, personal insurance, and property insurance. Moreover, it is considered that for each of these three categories, segmentation can be made based on the types of risks to be insured (such as fire risks, accident risks, civil liability risks...), which are not substitutable from the insured's perspective.  </w:t>
        <w:br/>
        <w:t>6. In the personal insurance market, an additional segmentation is made between group insurance contracts, concluded between an insurer and a subscriber distinct from the beneficiary, and individual insurance contracts where the subscriber is also the beneficiary.</w:t>
      </w:r>
    </w:p>
    <w:p>
      <w:r>
        <w:t>7. In this case, the parties are primarily active in the personal insurance market and more specifically in the field of individual and group supplementary health insurance.</w:t>
      </w:r>
    </w:p>
    <w:p>
      <w:r>
        <w:t xml:space="preserve">2. MARKETS FOR THE DISTRIBUTION OF INSURANCE PRODUCTS ON BEHALF OF THIRD PARTIES  </w:t>
        <w:br/>
        <w:t xml:space="preserve">8. The distribution of insurance products involves marketing and ensuring the administrative management of guarantees or insurance contracts whose risk is borne by third-party insurers. Competition authorities, both at the Community and national levels, have left open the question of the precise delineation of markets in this sector, with several segmentations being considered.  </w:t>
        <w:br/>
        <w:t xml:space="preserve">9. A broad market for the distribution of insurance products by independent intermediaries, including all distribution channels: agents, brokers, and other intermediaries (including banks), except for direct distribution by insurance companies, has thus been identified. In the analysis of certain operations, the existence of a market limited to insurance brokerage, comprising this sole distribution channel, has also been considered.  </w:t>
        <w:br/>
        <w:t xml:space="preserve">10. The markets for the distribution of insurance products can also be segmented based on the category of insured risks (property insurance and personal insurance) and according to the clientele (businesses or individuals). In this case, the parties to the operation are simultaneously active in the markets for the distribution on behalf of third parties of provident and retirement savings products.  </w:t>
        <w:br/>
        <w:t>11. In any case, in the absence of competitive issues, it is not necessary to resolve the question of the exact delineation of the markets for the distribution of insurance products.</w:t>
      </w:r>
    </w:p>
    <w:p>
      <w:r>
        <w:t xml:space="preserve">B. GEOGRAPHICAL DELIMITATION OF MARKETS  </w:t>
        <w:br/>
        <w:t xml:space="preserve">12. The markets for insurance products, as well as the markets for the distribution of insurance products on behalf of third parties, are commonly analyzed at the national level.  </w:t>
        <w:br/>
        <w:t>13. There is no need to challenge these delimitations in the examination of the present operation.</w:t>
      </w:r>
    </w:p>
    <w:p>
      <w:r>
        <w:rPr>
          <w:b/>
        </w:rPr>
        <w:t>[Pages 4–4]</w:t>
      </w:r>
    </w:p>
    <w:p>
      <w:r>
        <w:t xml:space="preserve">III. Competitive Analysis  </w:t>
        <w:br/>
        <w:t xml:space="preserve">A. THE MARKETS FOR INSURANCE PRODUCTS  </w:t>
        <w:br/>
        <w:t xml:space="preserve">14. Based on the 2009 ranking of Argus de l’Assurance, the notifying party provides a breakdown of supplementary health insurance premiums between individual contracts and group contracts of 13.58 billion euros and 9.7 billion euros, respectively. The market shares of the new entity will therefore be below 1% in each of these markets.  </w:t>
        <w:br/>
        <w:t xml:space="preserve">15. In the market for individual supplementary health insurance, the new entity will face competition notably from the Harmonie Mutuelles group (8.1%), MGEN (7.7%), Groupama (6.7%), and Swiss Life (4%). In the market for collective supplementary health insurance, major groups are present such as Axa (17.5%), Malakoff Médéric (8.7%), and AG2R La Mondiale (6.9%).  </w:t>
        <w:br/>
        <w:t xml:space="preserve">16. In light of the above, the operation is not likely to harm competition in the markets for individual and collective supplementary health insurance.  </w:t>
        <w:br/>
        <w:t xml:space="preserve">B. THE MARKETS FOR THE DISTRIBUTION OF INSURANCE PRODUCTS ON BEHALF OF THIRD PARTIES  </w:t>
        <w:br/>
        <w:t xml:space="preserve">17. In the market for the distribution of insurance products, the sum of the market shares of the parties to the operation remains below 1%. The present operation is therefore not likely to harm competition in this market.  </w:t>
        <w:br/>
        <w:t xml:space="preserve">DECIDES  </w:t>
        <w:br/>
        <w:t xml:space="preserve">Single Article: The operation notified under number 10-0153 is authorized.  </w:t>
        <w:br/>
        <w:t xml:space="preserve">The President,  </w:t>
        <w:br/>
        <w:t xml:space="preserve">Bruno Lasserre  </w:t>
        <w:br/>
        <w:t xml:space="preserve">Competition Authority  </w:t>
        <w:br/>
        <w:t>This ranking, carried out based on a non-exhaustive number of insurers, leads to considering the estimated market shares of the new entity as upward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