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https://www.autoritedelaconcurrence.fr/fr/decision-de-controle-des-concentrations/relative-la-fusion-par-absorption-des-mutuelles-viasante</w:t>
      </w:r>
    </w:p>
    <w:p>
      <w:r>
        <w:t>Pages translated : 5</w:t>
      </w:r>
    </w:p>
    <w:p/>
    <w:p>
      <w:r>
        <w:rPr>
          <w:b/>
        </w:rPr>
        <w:t>[Pages 1–3]</w:t>
      </w:r>
    </w:p>
    <w:p>
      <w:r>
        <w:t>FRENCH REPUBLIC</w:t>
        <w:br/>
        <w:t>Decision No. 11-DCC-127 of August 17, 2011</w:t>
        <w:br/>
        <w:t>regarding the merger by absorption of the mutual societies ViaSanté (absorbing mutual), ViaSanté MC 15, ViaSanté Périgord Mutualité, ViaSanté La Roussillionnaise, ViaSanté Mutuelle de l’Aude, MUTAL, Union Fraternelle Vallourec, Solidarité Millavoise, Mutual of the Firefighters of the Community of Agglomeration of Grand Rodez</w:t>
        <w:br/>
        <w:t>The Competition Authority,</w:t>
        <w:br/>
        <w:t>Having regard to the notification file submitted in full to the concentrations service on July 13, 2011, regarding the merger by absorption of the mutual societies ViaSanté (absorbing mutual), ViaSanté MC 15, ViaSanté Périgord Mutualité, ViaSanté La Roussillionnaise, ViaSanté Mutuelle de l’Aude, MUTAL, Union Fraternelle Vallourec, Solidarité Millavoise, Mutual of the Firefighters of the Community of Agglomeration of Grand Rodez, formalized by merger agreements signed in June 2011;</w:t>
        <w:br/>
        <w:t>Having regard to Book IV of the Commercial Code relating to price and competition freedom, and in particular its Articles L. 430-1 to L. 430-7;</w:t>
        <w:br/>
        <w:t>Having regard to the supplementary elements transmitted by the parties during the investigation;</w:t>
        <w:br/>
        <w:t>Adopts the following decision:</w:t>
        <w:br/>
        <w:t>I. The companies concerned and the operation</w:t>
        <w:br/>
        <w:t>1. ViaSanté, ViaSanté MC 15, and ViaSanté Périgord Mutualité are mutual societies governed by the provisions of the mutual insurance code, particularly its Book II. They are primarily active in the field of risk coverage related to accidents (branch 1), illness (branch 21), and death (branch 202).</w:t>
        <w:br/>
        <w:t>2. The Union Technique ViaSanté is a union of mutual societies governed by the provisions of the mutual insurance code, particularly its Book II. It replaces the mutual societies ViaSanté La Roussillonnaise and ViaSanté Mutuelle de l’Aude and is primarily active in the field of risk coverage related to accidents (branch 1), illness (branch 2), death (branch 20), and marriage-birth (branch 213).</w:t>
        <w:br/>
        <w:t>3. The Union Mutuelle ViaSanté UDSMA is a union of mutual societies governed by the provisions of the mutual insurance code, particularly its Book II. It replaces the mutual societies MUTAL, Mutuelle Union Fraternelle Vallourec, Mutuelle Solidarité Millavoise, and Mutual of the Firefighters of the Community of Commune of Grand Rodez and is primarily active in the field of risk coverage related to accidents (branch 1), illness (branch 2), death (branch 20), and marriage-birth (branch 21).</w:t>
        <w:br/>
        <w:t>4. The Union Technique ViaSanté (through its substituted mutual societies) and the Union Mutuelle ViaSanté UDSMA also engage in mutual activities under Book III of the mutual insurance code, activities in the long-term accommodation market for the elderly respectively in the departments of Aude and Pyrénées Orientales and in the department of Aveyron. Finally, the Union Technique ViaSanté is active in the market for approved care networks (opticians and audioprothesists) in the department of Pyrénées Orientales and UDSMA in the departments of Aveyron, Lot, and Lozère.</w:t>
        <w:br/>
        <w:t>5. Under the merger agreements, the absorbed mutual societies committed to transferring, with retroactive effect from January 1, 2011, the entirety of their insurance contract portfolios, as well as the corresponding rights and obligations, to the absorbing mutual ViaSanté. These merger-absorption operations are legally linked and thus constitute a single concentration operation.</w:t>
        <w:br/>
        <w:t>6. Insofar as it results in the merger of the mutual societies ViaSanté, ViaSanté MC 15, ViaSanté Périgord Mutualité, ViaSanté La Roussillionnaise, ViaSanté Mutuelle de l’Aude, MUTAL, Union Fraternelle Vallourec, Solidarité Millavoise, Mutual of the Firefighters of the Community of Agglomeration of Grand Rodez, the notified operation constitutes a concentration within the meaning of Article L. 430-1 of the Commercial Code.</w:t>
        <w:br/>
        <w:t>7. The companies concerned together achieve a total worldwide turnover of more than 150 million euros (ViaSanté: […] million euros for the fiscal year ending December 31, 2010; ViaSanté MC 15: […] million euros for the same fiscal year; ViaSanté Périgord Mutualité: […] million euros for the same fiscal year; Union Technique ViaSanté: […] million for the same fiscal year; ViaSanté UDSMA: […] million euros for the same fiscal year). Two of them each achieve, in France, a turnover exceeding 50 million euros (Union Technique ViaSanté: […] million for the fiscal year ending December 31, 2010; ViaSanté UDSMA: […] million euros for the same fiscal year). Given these turnover figures,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w:t>
        <w:br/>
        <w:t>II. Delimitation of relevant markets</w:t>
        <w:br/>
        <w:t>8. National and community competition authorities distinguish between the markets for personal insurance, property insurance, and reinsurance.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w:t>
        <w:br/>
        <w:t>9. The mutual societies involved in the operation are simultaneously present in the markets for personal insurance products and the distribution of insurance products on behalf of third parties.</w:t>
        <w:br/>
        <w:t>A. THE MARKETS FOR PERSONAL INSURANCE PRODUCTS</w:t>
        <w:br/>
        <w:t>10. In the personal insurance market, an additional segmentation is made between group insurance contracts, concluded between an insurer and a subscriber distinct from the beneficiary, and individual insurance contracts for which the subscriber is also the beneficiary.</w:t>
        <w:br/>
        <w:t>11. In this case, the parties are simultaneously active in the markets for individual and collective complementary health insurance. They also distribute, albeit marginally, funeral guarantees and guarantees related to marriage and birth.</w:t>
        <w:br/>
        <w:t>12. In any case, the exact definition of each of the markets examined in this decision can be left open, as the conclusions of the competitive analysis will remain unchanged regardless of the segmentations retained.</w:t>
        <w:br/>
        <w:t>13. Regarding the geographical delimitation of the markets, with the exception of certain insurances covering large-scale risks, the markets for insurance products have been considered to be of national dimension given consumer preferences, the existence of national legislation and tax constraints, the current structure of these markets, and regulatory systems.</w:t>
        <w:br/>
        <w:t>14. There is no reason to challenge these delimitations on the occasion of the present operation.</w:t>
        <w:br/>
        <w:t>B. THE MARKETS FOR THE DISTRIBUTION OF INSURANCE PRODUCTS ON BEHALF OF THIRD PARTIES</w:t>
        <w:br/>
        <w:t>15. The distribution of insurance products consists of marketing and ensuring the administrative management of guarantees or insurance contracts whose risk is borne by third-party insurers. Several segmentations have been considered, although the precise delimitation of these markets has been left open by the competition authorities.</w:t>
        <w:br/>
        <w:t>16. A broad market for the distribution of insurance products by independent intermediaries, including all distribution channels (agents, brokers, and other intermediaries) except for direct distribution by insurance companies, has thus been identified.</w:t>
        <w:br/>
        <w:t>17. A market limited to insurance brokerage and including only this distribution channel has also been considered. Finally, additional segmentations have been made according to the</w:t>
      </w:r>
    </w:p>
    <w:p>
      <w:r>
        <w:rPr>
          <w:b/>
        </w:rPr>
        <w:t>[Pages 4–5]</w:t>
      </w:r>
    </w:p>
    <w:p>
      <w:r>
        <w:t>category of insured risks (property insurance and personal insurance) and according to the clientele (businesses or individuals).</w:t>
      </w:r>
    </w:p>
    <w:p>
      <w:r>
        <w:t>18. In this case, the parties are simultaneously active in the segments of distribution on behalf of third parties of assistance, provident, and retirement savings products.</w:t>
      </w:r>
    </w:p>
    <w:p>
      <w:r>
        <w:t>19. Regarding their geographical boundaries, the markets for the distribution of insurance products have been considered primarily as being of national dimension.</w:t>
      </w:r>
    </w:p>
    <w:p>
      <w:r>
        <w:t>20. There is no reason to challenge these boundaries on the occasion of the present operation.</w:t>
      </w:r>
    </w:p>
    <w:p>
      <w:r>
        <w:t>C. OTHER SERVICE MARKETS UNDER THE SOCIAL ACTION OF MUTUALS OF BOOK III</w:t>
      </w:r>
    </w:p>
    <w:p>
      <w:r>
        <w:t>21. The Union Technique ViaSanté and ViaSanté UDSMA are also active in the markets for long-term accommodation for the elderly and approved care networks for opticians and audioprothesis providers.</w:t>
      </w:r>
    </w:p>
    <w:p>
      <w:r>
        <w:t>22. Regarding the activities of accommodation and care for the elderly, the decision-making practice has distinguished the markets for long-term accommodation for the elderly and for rehabilitation and follow-up care centers. In this case, only the market for long-term accommodation for the elderly is concerned.</w:t>
      </w:r>
    </w:p>
    <w:p>
      <w:r>
        <w:t>23. Regarding the markets for approved care networks, in this case, the new entity will be active in the markets for the distribution of optical and audioprosthetic products. These two markets can be examined separately in the context of this decision. However, the exact definition of these markets can be left open, as the operation is not likely to significantly alter their structure regardless of the assumption retained.</w:t>
      </w:r>
    </w:p>
    <w:p>
      <w:r>
        <w:t>24. Indeed, regarding the geographical delimitation of these markets, the Authority of Competition noted the importance of proximity in distribution. In this case, the activities of the parties occur in different departments, and the operation does not result in any overlap of activities at the geographical level.</w:t>
      </w:r>
    </w:p>
    <w:p>
      <w:r>
        <w:t>25. The operation is therefore not likely to harm competition in these markets. Consequently, the effects of the operation will be examined only in the markets of the insurance sector.</w:t>
      </w:r>
    </w:p>
    <w:p>
      <w:r>
        <w:t>6 Decision No. 10-DCC-119 of December 13, 2010, concerning the exclusive control of the Mediter and Mieux-Vivre group by the Orpéa company.</w:t>
      </w:r>
    </w:p>
    <w:p>
      <w:r>
        <w:t>7 Decision No. 11-DCC-117 of July 26, 2011, concerning the merger by absorption of Eovi Mutuelle creusoise, Eovi Mutuelle du Limousin, Eovi la Mif, Eovi Roanne Mutuelle, Eovi Mutuelles Présence, Eovi Mutuelle Drôme Arpica by Eovi Novalia Mutuelle and the portfolio contribution of Eovi Languedoc Mutualité, a union of mutuals, to Eovi Novalia Mutuelle.</w:t>
      </w:r>
    </w:p>
    <w:p>
      <w:r>
        <w:t>8 Id. and decision No. 02-D-36 of June 14, 2002, concerning practices noted in the optical glasses distribution sector in the Lyon agglomeration market.</w:t>
      </w:r>
    </w:p>
    <w:p>
      <w:r>
        <w:t>III. Competitive Analysis</w:t>
      </w:r>
    </w:p>
    <w:p>
      <w:r>
        <w:t>26. Competition in the relevant sectors operates in highly fragmented markets, as the competitors of the new entity in the personal insurance markets were, in 2008, the 349 other mutual societies, as well as provident institutions and insurance companies. In total, in each of the insurance markets concerned by the present operation, namely the markets for individual and collective complementary health insurance, the funeral guarantees market, and the marriage-birth guarantees market, the market share of the new entity will be well below [0-5] %.</w:t>
      </w:r>
    </w:p>
    <w:p>
      <w:r>
        <w:t>27. Similarly, in the markets for the distribution of insurance products on behalf of third parties, the market share of the new entity will be below [0-5] %.</w:t>
      </w:r>
    </w:p>
    <w:p>
      <w:r>
        <w:t>28. Therefore, the operation is not likely to harm competition in the various concerned markets.</w:t>
      </w:r>
    </w:p>
    <w:p>
      <w:r>
        <w:t>DECIDES</w:t>
      </w:r>
    </w:p>
    <w:p>
      <w:r>
        <w:t>Single Article: The operation notified under number 11-0118 is authorized.</w:t>
      </w:r>
    </w:p>
    <w:p>
      <w:r>
        <w:t>The Vice-President,</w:t>
        <w:br/>
        <w:t>Françoise Aubert</w:t>
        <w:br/>
        <w:t>Authority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