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https://www.autoritedelaconcurrence.fr/fr/decision-de-controle-des-concentrations/relative-la-fusion-par-absorption-du-groupe-jh-mesguen-par</w:t>
      </w:r>
    </w:p>
    <w:p>
      <w:r>
        <w:t>Pages translated : 2</w:t>
      </w:r>
    </w:p>
    <w:p/>
    <w:p>
      <w:r>
        <w:rPr>
          <w:b/>
        </w:rPr>
        <w:t>[Pages 1–2]</w:t>
      </w:r>
    </w:p>
    <w:p>
      <w:r>
        <w:t xml:space="preserve">FRENCH REPUBLIC  </w:t>
        <w:br/>
        <w:t xml:space="preserve">Decision No. 25-DCC-194 of August 22, 2025  </w:t>
        <w:br/>
        <w:t xml:space="preserve">regarding the merger by absorption of the JH Mesguen group  </w:t>
        <w:br/>
        <w:t xml:space="preserve">by the Socafna group  </w:t>
        <w:br/>
        <w:t xml:space="preserve">The Competition Authority,  </w:t>
        <w:br/>
        <w:t xml:space="preserve">Having regard to the complete notification file submitted to the mergers department on August 5, 2025,  </w:t>
        <w:br/>
        <w:t xml:space="preserve">concerning the merger by absorption of JHM Investissement, the parent company of the JH Mesguen group, by SOFIMS, the parent company of the Socafna group, formalized by a draft merger agreement signed on July 17, 2025;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merger-absorption of JHM Investissement and its subsidiaries by SOFIMS. The operation therefore constitutes a concentration within the meaning of Article L. 430-1 of the Commercial Code. The sectors concerned are those of road transport under controlled temperature and logistics services. Given the turnover achieved by the companies concerned, the operation does not fall under the jurisdiction of the European Union. On the other hand, the control thresholds mentioned in 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24-301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