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https://www.autoritedelaconcurrence.fr/fr/decision-de-controle-des-concentrations/relative-la-fusion-par-voie-dabsorption-de-fidom-au-profit</w:t>
      </w:r>
    </w:p>
    <w:p>
      <w:r>
        <w:t>Pages translated : 5</w:t>
      </w:r>
    </w:p>
    <w:p/>
    <w:p>
      <w:r>
        <w:rPr>
          <w:b/>
        </w:rPr>
        <w:t>[Pages 1–3]</w:t>
      </w:r>
    </w:p>
    <w:p>
      <w:r>
        <w:t xml:space="preserve">FRENCH REPUBLIC  </w:t>
        <w:br/>
        <w:t xml:space="preserve">Decision No. 16-DCC-113 of July 25, 2016  </w:t>
        <w:br/>
        <w:t xml:space="preserve">regarding the merger by absorption of Fidom in favor of  </w:t>
        <w:br/>
        <w:t>Peyrot Investissements</w:t>
      </w:r>
    </w:p>
    <w:p>
      <w:r>
        <w:t xml:space="preserve">The Competition Authority,  </w:t>
        <w:br/>
        <w:t xml:space="preserve">Having regard to the notification file submitted in full to the merger service on July 6, 2016,  </w:t>
        <w:br/>
        <w:t xml:space="preserve">regarding the merger by absorption of the company Fidom in favor of the company Peyrot  </w:t>
        <w:br/>
        <w:t xml:space="preserve">Investissements, formalized by a merger agreement dated June 7,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Peyrot Investissements is the parent company of a group of companies active in the sectors of  </w:t>
        <w:br/>
        <w:t xml:space="preserve">the distribution, repair, and maintenance of motor vehicles of the brands Renault, Dacia,  </w:t>
        <w:br/>
        <w:t xml:space="preserve">and Nissan in the departments of Ariège (09), Aude (11), Haute Garonne (31), and Tarn (81).  </w:t>
        <w:br/>
        <w:t xml:space="preserve">The company Peyrot Investissement is exclusively controlled by the Peyrot family.  </w:t>
        <w:br/>
        <w:t xml:space="preserve">2. Fidom is a French law company operating several car dealerships, primarily under the brands  </w:t>
        <w:br/>
        <w:t xml:space="preserve">Renault, Dacia, and Nissan, in the departments of Lot (46), Haute-Garonne (31), Lot-et-Garonne  </w:t>
        <w:br/>
        <w:t xml:space="preserve">(47), Tarn-et-Garonne (82), Corrèze (19), and Ariège (09).  </w:t>
        <w:br/>
        <w:t xml:space="preserve">3. The notified operation, formalized by a merger agreement dated June 7, 2016, consists of the  </w:t>
        <w:br/>
        <w:t xml:space="preserve">merger by absorption of the company Fidom in favor of the company Peyrot Investissements.  </w:t>
        <w:br/>
        <w:t xml:space="preserve">It constitutes a concentration operation within the meaning of Article L. 430-1 of the  </w:t>
        <w:br/>
        <w:t xml:space="preserve">Commercial Code.  </w:t>
        <w:br/>
        <w:t xml:space="preserve">4. The concerned companies together achieve a total worldwide turnover excluding taxes of  </w:t>
        <w:br/>
        <w:t xml:space="preserve">more than 150 million euros (Peyrot Investissements: 127.8 million for the last fiscal year  </w:t>
        <w:br/>
        <w:t xml:space="preserve">closed on December 31, 2015; Fidom: 108 million euros for the same fiscal year). The  </w:t>
        <w:br/>
        <w:t xml:space="preserve">concerned companies achieve in France a total turnover excluding taxes exceeding 50  </w:t>
        <w:br/>
        <w:t xml:space="preserve">million euros (Peyrot Investissements: 127.8 million for the last fiscal year closed on December  </w:t>
        <w:br/>
        <w:t xml:space="preserve">31, 2015; Fidom: 108 million euros for the same fiscal year). Given these turnover figures,  </w:t>
        <w:br/>
        <w:t xml:space="preserve">the operation does not fall under the jurisdiction of the European Union. However, the control  </w:t>
        <w:br/>
        <w:t xml:space="preserve">thresholds mentioned in point I of Article L. 430-2 of the Commercial Code are exceeded.  </w:t>
        <w:br/>
        <w:t xml:space="preserve">Therefore, the present operation is subject to the provisions of Articles L. 430-3 and  </w:t>
        <w:br/>
        <w:t>following of the Commercial Code relating to economic concentration.</w:t>
      </w:r>
    </w:p>
    <w:p>
      <w:r>
        <w:t xml:space="preserve">II. Definition of Relevant Markets  </w:t>
        <w:br/>
        <w:t xml:space="preserve">A. PRODUCT AND SERVICE MARKETS  </w:t>
        <w:br/>
        <w:t xml:space="preserve">5. In the automotive distribution sector, decision-making practice1 distinguishes (i) the  </w:t>
        <w:br/>
        <w:t xml:space="preserve">distribution of new passenger vehicles intended for individual customers; (ii) the  </w:t>
        <w:br/>
        <w:t xml:space="preserve">distribution of new passenger vehicles intended for professional customers; (iii) the  </w:t>
        <w:br/>
        <w:t xml:space="preserve">distribution of commercial vehicles; (iv) the distribution of used vehicles; (v) the  </w:t>
        <w:br/>
        <w:t xml:space="preserve">distribution of spare parts and automotive accessories; (vi) the distribution of maintenance  </w:t>
        <w:br/>
        <w:t xml:space="preserve">and repair services for motor vehicles; (vii) the distribution of rental services.  </w:t>
        <w:br/>
        <w:t xml:space="preserve">6. There is no need to challenge these definitions during the examination of the present  </w:t>
        <w:br/>
        <w:t xml:space="preserve">operation.  </w:t>
        <w:br/>
        <w:t xml:space="preserve">7. In this case, the concerned companies are simultaneously present in all of these markets,  </w:t>
        <w:br/>
        <w:t>except for the market for the distribution of rental services.</w:t>
      </w:r>
    </w:p>
    <w:p>
      <w:r>
        <w:t xml:space="preserve">B. GEOGRAPHICAL MARKETS  </w:t>
        <w:br/>
        <w:t xml:space="preserve">8. Regarding the retail markets for new or used motor vehicles, spare parts and automotive  </w:t>
        <w:br/>
        <w:t xml:space="preserve">accessories, and maintenance and repair services for motor vehicles, decision-making practice2  </w:t>
        <w:br/>
        <w:t xml:space="preserve">adopts a local definition, generally at the departmental level.  </w:t>
        <w:br/>
        <w:t xml:space="preserve">9. The competitive analysis is supplemented by an examination of the operation in a territory  </w:t>
        <w:br/>
        <w:t xml:space="preserve">formed by the departments bordering the departments where the parties are simultaneously  </w:t>
        <w:br/>
        <w:t xml:space="preserve">present, when one of the parties is also active there.  </w:t>
        <w:br/>
        <w:t xml:space="preserve">10. In this case, the parties are simultaneously present in the only department of Haute-  </w:t>
        <w:br/>
        <w:t xml:space="preserve">Garonne (31). The competitive analysis will be conducted primarily in this department.  </w:t>
        <w:br/>
        <w:t xml:space="preserve">11. Peyrot Investissements and Fidom also operate car dealerships in the departments of  </w:t>
        <w:br/>
        <w:t xml:space="preserve">Ariège (09), Aude (11), Tarn (81), and Tarn-et-Garonne (82). This  </w:t>
        <w:br/>
        <w:t xml:space="preserve">1 See for example the Authority's decision No. 10-DCC-23 of March 1, 2010.  </w:t>
        <w:br/>
        <w:t>2 Ibid.</w:t>
      </w:r>
    </w:p>
    <w:p>
      <w:r>
        <w:t xml:space="preserve">geographic area, which includes the department of Haute-Garonne (31), will also be subject  </w:t>
        <w:br/>
        <w:t>to competitive analysis.</w:t>
      </w:r>
    </w:p>
    <w:p>
      <w:r>
        <w:t xml:space="preserve">III. Competitive Analysis  </w:t>
        <w:br/>
        <w:t xml:space="preserve">A. VEHICLE SALES MARKETS  </w:t>
        <w:br/>
        <w:t xml:space="preserve">12. Regarding the calculation of market shares, decision-making practice3 uses as an indicator  </w:t>
        <w:br/>
        <w:t xml:space="preserve">the ratio between the sales of new vehicles made by the parties in the departments  </w:t>
        <w:br/>
        <w:t xml:space="preserve">concerned by the operation and the total registrations of new vehicles recorded in  </w:t>
        <w:br/>
        <w:t xml:space="preserve">these same departments by the prefectures.  </w:t>
        <w:br/>
        <w:t xml:space="preserve">13. In the department of Haute-Garonne (31), the parties to the concentration hold the  </w:t>
        <w:br/>
        <w:t xml:space="preserve">following combined market shares:  </w:t>
        <w:br/>
        <w:t xml:space="preserve">Department of Haute-Garonne (31) Combined market shares  </w:t>
        <w:br/>
        <w:t xml:space="preserve">Distribution of new passenger vehicles intended for  </w:t>
        <w:br/>
        <w:t xml:space="preserve">6.57%  </w:t>
        <w:br/>
        <w:t xml:space="preserve">individual customers  </w:t>
        <w:br/>
        <w:t xml:space="preserve">Distribution of new passenger vehicles intended for  </w:t>
        <w:br/>
        <w:t xml:space="preserve">3.97%  </w:t>
        <w:br/>
        <w:t xml:space="preserve">professional customers  </w:t>
        <w:br/>
        <w:t xml:space="preserve">Distribution of commercial vehicles 5.55%  </w:t>
        <w:br/>
        <w:t xml:space="preserve">Distribution of used vehicles 0.67%  </w:t>
        <w:br/>
        <w:t xml:space="preserve">14. In a geographical area comprising the departments of Haute-Garonne (31), Ariège (09),  </w:t>
        <w:br/>
        <w:t xml:space="preserve">Aude (11), Tarn (81), and Tarn-et-Garonne (82), the parties to the concentration hold the  </w:t>
        <w:br/>
        <w:t xml:space="preserve">following combined market shares:  </w:t>
        <w:br/>
        <w:t>3 Ibid.</w:t>
      </w:r>
    </w:p>
    <w:p>
      <w:r>
        <w:rPr>
          <w:b/>
        </w:rPr>
        <w:t>[Pages 4–5]</w:t>
      </w:r>
    </w:p>
    <w:p>
      <w:r>
        <w:t>Departments of Haute-Garonne (31), Ariège (09), Aude (11), Tarn (81), and Tarn-et-Garonne (82)</w:t>
      </w:r>
    </w:p>
    <w:p>
      <w:r>
        <w:t>Cumulative Market Shares</w:t>
      </w:r>
    </w:p>
    <w:p>
      <w:r>
        <w:t>Distribution of new passenger vehicles intended for individual customers 10.6%</w:t>
      </w:r>
    </w:p>
    <w:p>
      <w:r>
        <w:t>Distribution of new passenger vehicles intended for professional customers 4.85%</w:t>
      </w:r>
    </w:p>
    <w:p>
      <w:r>
        <w:t>Distribution of commercial vehicles 8.45%</w:t>
      </w:r>
    </w:p>
    <w:p>
      <w:r>
        <w:t>Distribution of used vehicles 0.95%</w:t>
      </w:r>
    </w:p>
    <w:p>
      <w:r>
        <w:t>15. In each of these geographical areas, the market shares of the new entity will be below 11% in the various markets for the distribution of motor vehicles. The new entity will face competition from numerous independent dealers of Renault, Dacia, and Nissan brands, as well as dealers of competing brands.</w:t>
      </w:r>
    </w:p>
    <w:p>
      <w:r>
        <w:t>16. Given these elements, the operation is therefore not likely to harm competition in these markets.</w:t>
      </w:r>
    </w:p>
    <w:p>
      <w:r>
        <w:t>B. MARKETS FOR SPARE PARTS, MAINTENANCE, AND REPAIR SERVICES</w:t>
      </w:r>
    </w:p>
    <w:p>
      <w:r>
        <w:t>17. In the retail market for automotive spare parts and accessories and in the market for maintenance and repair services for motor vehicles, the parties have not been able to ascertain the turnover achieved by all operators combined in the departments of Haute-Garonne (31), Ariège (09), Aude (11), Tarn (81), and Tarn-et-Garonne (82).</w:t>
      </w:r>
    </w:p>
    <w:p>
      <w:r>
        <w:t>18. However, in the departments concerned, the parties face competition from other dealers of Renault, Dacia, and Nissan brands as well as local agents dependent on the network who may provide the same services as those of a dealer. The new entity will also face competition from numerous independent garages and repairers, as well as specialized brands such as Speedy, Norauto, Midas, Centre AD, and Feu Vert, which may offer consumers identical or equivalent quality spare parts and accessories, and maintenance and repair services for motor vehicles similar to those distributed by the various entities.</w:t>
      </w:r>
    </w:p>
    <w:p>
      <w:r>
        <w:t>19. Given these elements, the operation is not likely to harm competition in the local markets for the supply of spare parts, maintenance, and repair services.</w:t>
      </w:r>
    </w:p>
    <w:p>
      <w:r>
        <w:t>DECIDES</w:t>
      </w:r>
    </w:p>
    <w:p>
      <w:r>
        <w:t>Sole Article: The operation notified under number 16-112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