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https://www.autoritedelaconcurrence.fr/fr/decision/relative-la-mise-en-oeuvre-du-v-de-larticle-l-464-2-du-code-de-commerce-concernant</w:t>
      </w:r>
    </w:p>
    <w:p>
      <w:r>
        <w:t>Pages translated : 15</w:t>
      </w:r>
    </w:p>
    <w:p/>
    <w:p>
      <w:r>
        <w:rPr>
          <w:b/>
        </w:rPr>
        <w:t>[Pages 1–3]</w:t>
      </w:r>
    </w:p>
    <w:p>
      <w:r>
        <w:t>FRENCH REPUBLIC</w:t>
        <w:br/>
        <w:t>Decision No. 21-D-28 of December 9, 2021</w:t>
        <w:br/>
        <w:t>regarding the implementation of V of Article L. 464-2</w:t>
        <w:br/>
        <w:t>of the Commercial Code concerning the obstruction by the company</w:t>
        <w:br/>
        <w:t>Mayotte Channel Gateway SAS to the investigation</w:t>
        <w:br/>
        <w:t>of the Authority's services*</w:t>
        <w:br/>
        <w:t>The Competition Authority (permanent commission),</w:t>
        <w:br/>
        <w:t>Having regard to the file registered under number 21/0042 F relating to an obstruction procedure</w:t>
        <w:br/>
        <w:t>opened in the context of the investigation into practices observed in the maritime transport sector in Mayotte registered under 18/0104 E;</w:t>
        <w:br/>
        <w:t>Having regard to the Treaty on the functioning of the European Union, and in particular its Articles 101</w:t>
        <w:br/>
        <w:t>and 102;</w:t>
        <w:br/>
        <w:t>Having regard to Regulation (EC) No. 1/2003;</w:t>
        <w:br/>
        <w:t>Having regard to Book IV of the Commercial Code and in particular its Articles L. 420-1, L. 420-2 and</w:t>
        <w:br/>
        <w:t>L. 464-2;</w:t>
        <w:br/>
        <w:t>Having regard to the observations presented by the companies Mayotte Channel Gateway SAS and Société Nel Import Export and the Government Commissioner;</w:t>
        <w:br/>
        <w:t>Having regard to the other documents in the file;</w:t>
        <w:br/>
        <w:t>The reporting member, the deputy general reporter, the representative of the companies</w:t>
        <w:br/>
        <w:t>Mayotte Channel Gateway SAS and Société Nel Import Export heard during the session of</w:t>
        <w:br/>
        <w:t>the Competition Authority on October 19, 2021, the Government Commissioner having been</w:t>
        <w:br/>
        <w:t>regularly summoned;</w:t>
        <w:br/>
        <w:t>Adopts the following decision:</w:t>
        <w:br/>
        <w:t>* public version</w:t>
      </w:r>
    </w:p>
    <w:p>
      <w:r>
        <w:t>Summary1</w:t>
        <w:br/>
        <w:t>By this decision, the Competition Authority (hereinafter "the Authority")</w:t>
        <w:br/>
        <w:t>imposes jointly a fine of 100,000 euros on the company Mayotte Channel</w:t>
        <w:br/>
        <w:t>Gateway SAS (hereinafter "MCG") and on Société Nel Import Export (collectively referred to as</w:t>
        <w:br/>
        <w:t>the "Nel group"), based on the provisions of V of Article L. 464-2 of the Commercial Code, for having obstructed the Authority's investigation concerning practices implemented at the port of Longoni, located in Mayotte.</w:t>
        <w:br/>
        <w:t>By deliberately and repeatedly failing to respond to the request for information sent by the Authority on December 14, 2020, the company MCG obstructed an investigative measure of the investigation services. The Authority also considered that this practice was attributable to MCG's parent company, Société Nel Import Export.</w:t>
        <w:br/>
        <w:t>The provisions relating to obstruction are crucial to ensure the effectiveness of the Authority's investigative and inquiry powers. The company subject to an investigative measure is thus required to actively and loyally cooperate, which notably involves responding to requests for information communicated by the Authority and within the allotted time.</w:t>
        <w:br/>
        <w:t>The Authority defined the amount of the fine taking into account the seriousness of the behavior attributed to the Nel group, which deliberately obstructed an investigation by the Authority concerning it. It considered all the circumstances of the case and set the amount of the fine at 100,000 euros, given the seriousness of the practices.</w:t>
        <w:br/>
        <w:t>The Authority also ordered the Nel group to respond to the Authority's request for information within one month from the notification of the decision.</w:t>
        <w:br/>
        <w:t>1 This summary is strictly informative. Only the reasons for the decision numbered below are authoritative.</w:t>
      </w:r>
    </w:p>
    <w:p>
      <w:r>
        <w:t>SUMMARY</w:t>
        <w:br/>
        <w:t>I. FINDINGS ................................................................................ 4</w:t>
        <w:br/>
        <w:t>A. THE PROCEDURE ...........................................................................................................4</w:t>
        <w:br/>
        <w:t>B. THE COMPANY CONCERNED ...................................................................................4</w:t>
        <w:br/>
        <w:t>C. THE PRACTICES OBSERVED .......................................................................................5</w:t>
        <w:br/>
        <w:t>II. DISCUSSION .......................................................................................... 7</w:t>
        <w:br/>
        <w:t>A. ON THE QUALIFICATION OF OBSTRUCTION .................................................7</w:t>
        <w:br/>
        <w:t>1. RECALL OF PRINCIPLES .............................................................................................7</w:t>
        <w:br/>
        <w:t>2. APPLICATION IN THE CASE AT HAND .......................................................................................8</w:t>
        <w:br/>
        <w:t>B. ON THE ATTRIBUTION OF PRACTICES .............................................................10</w:t>
        <w:br/>
        <w:t>1. RECALL OF PRINCIPLES ...........................................................................................10</w:t>
        <w:br/>
        <w:t>2. APPLICATION IN THE CASE AT HAND .....................................................................................12</w:t>
        <w:br/>
        <w:t>C. ON SANCTIONS ................................................................................................13</w:t>
        <w:br/>
        <w:t>1. ON THE FINANCIAL SANCTION ...............................................................................13</w:t>
        <w:br/>
        <w:t>2. ON INJUNCTIONS .............................................................................................14</w:t>
        <w:br/>
        <w:t>DECISION ..................................................................................................... 15</w:t>
      </w:r>
    </w:p>
    <w:p>
      <w:r>
        <w:rPr>
          <w:b/>
        </w:rPr>
        <w:t>[Pages 4–6]</w:t>
      </w:r>
    </w:p>
    <w:p>
      <w:r>
        <w:t>I. FINDINGS</w:t>
        <w:br/>
        <w:t>A. THE PROCEDURE</w:t>
        <w:br/>
        <w:t>1. The Competition Authority (hereinafter "the Authority") opened an investigation in 2018, registered under number 18/0104 E, based on indications transmitted by the Directorate General for Competition, Consumer Affairs and Fraud Control (DGCCRF), regarding practices observed in the maritime transport sector in Mayotte.</w:t>
        <w:br/>
        <w:t>2. The investigation services conducted search and seizure operations on November 7, 2019, at the premises of Mayotte Channel Gateway SAS (hereinafter "MCG") and those of its former subsidiary, the port handling company Manu-port.</w:t>
        <w:br/>
        <w:t>3. On June 23, 2021, the investigation services sent a report of obstruction to the investigation of case no. 18/0104 E to MCG and its parent company, Société Nel Import Export (hereinafter "SNIE"), for failing to respond to a request for information.</w:t>
        <w:br/>
        <w:t>4. By decision no. 21-SO-14 of July 13, 2021, the Authority subsequently initiated ex officio proceedings regarding practices implemented in the port services sector at the port of Longoni. This ex officio initiation was registered under number 21/0056 F.</w:t>
        <w:br/>
        <w:t>B. THE COMPANY CONCERNED</w:t>
        <w:br/>
        <w:t>5. MCG is a simplified joint-stock company created on August 28, 2013, and registered with the RCS of Mamoudzou under number 795 032 325. Its president is Ms. X..., and its vice-president is her son, Mr. X...2.</w:t>
        <w:br/>
        <w:t>6. MCG was created by SNIE to manage and operate the port of Longoni, under a public service delegation awarded to SNIE by the Departmental Council of Mayotte on July 3, 2013.</w:t>
        <w:br/>
        <w:t>7. MCG has consistently been a 90% subsidiary of SNIE since its creation. The manager3 and main shareholder4 of SNIE is Ms. X..., who has directly held [70 – 100]% of the shares of SNIE since 2006. The remaining shares of SNIE are held by members of the X… family.</w:t>
        <w:br/>
        <w:t>8. The remaining shares of MCG are held by Mahorais Gateway Invest (hereinafter "MGI")5, a limited liability company established – like MCG – on August 28, 20136 and registered under number 795 032 7397. Ms. X... is its main shareholder and co-manager; the second co-manager, Mr. Y..., holds the remaining shares8.</w:t>
        <w:br/>
        <w:t>C. THE PRACTICES OBSERVED</w:t>
        <w:br/>
        <w:t>9. On December 14, 2020, the investigation services of the Authority sent a request for information, comprising 62 questions9, to Ms. X..., president of MCG, by registered letter with acknowledgment of receipt and by email to the addresses provided by the company's secretariat. The email and the postal letter, signed by the two rapporteurs in charge of the case, set the deadline for responding to the questionnaire for January 25, 2021,10.</w:t>
        <w:br/>
        <w:t>10. The email was read by Ms. X...'s email address on Monday, December 14, 202011. The acknowledgment of receipt of the registered letter was stamped by the postal services of Mamoudzou, indicating delivery of the letter to MCG on January 11, 202112.</w:t>
        <w:br/>
        <w:t>11. In the absence of a response from MCG by January 25, 2021, the procedure service of the Authority sent an email to Ms. X... on January 26, 2021, asking her to quickly contact the investigation services of the Authority13.</w:t>
        <w:br/>
        <w:t>12. In response, Ms. X... indicated in an email on the same day that the request for information could not be processed due to the contamination of several of her employees with Covid-19 and requested an additional two-week period to respond to this request for information14.</w:t>
        <w:br/>
        <w:t>13. The investigation services granted this request by email on January 27, 2021, not without first reminding the president of MCG that, "in accordance with Article L. 450-8 of the Commercial Code and V of Article L. 464-2 of the same code, every company is required to respond to the questions of the Competition Authority within the allotted time, so that any request for an extension of the deadline, duly justified, must be made before the expiration of the deadline set by the rapporteurs." MCG's responses to the questionnaire were therefore expected by February 8, 2021, at the latest15.</w:t>
        <w:br/>
        <w:t>14. In the absence of a response from MCG upon the expiration of this first extension of the deadline, the investigation services sent an email to Ms. X... on February 9, 2021, noting the absence of a response within the allotted time and requesting the president of MCG to quickly contact them16.</w:t>
        <w:br/>
        <w:t>15. On Monday, February 15, 2021, Ms. X... sent a brief email to the investigation services, copying her lawyer, indicating that all the answers to their request for information were in the files seized by the Authority during the operations of November 7, 2019:</w:t>
      </w:r>
    </w:p>
    <w:p>
      <w:r>
        <w:t>"hello madam, you have all this information on the computer files you took (sic)"17.</w:t>
        <w:br/>
        <w:t>16. On the same day, the investigation services sent a reply email to Ms. X... and her counsel reminding them of the obligation to respond that weighs on every company in a contentious framework and the sanctions to which the company is exposed if it does not respond to the request for information from the investigation services. The email notably mentioned: "The requested information is necessary for the investigation. MCG cannot therefore refuse to respond to such a request without appearing to want to evade the application of competition law." In this email, the investigation services granted MCG a new deadline of one week to respond to the questionnaire, with the return expected by February 22, 2021, at the latest18.</w:t>
        <w:br/>
        <w:t>17. In the absence of a response from MCG upon the expiration of this second extension of the deadline, the investigation services sent a new email to Ms. X... and her counsel on March 5, 2021, noting that the last reminder of February 15, 2021, had gone unanswered by MCG. In this email, the investigation services reminded them that they had already outlined, on two occasions, the risks of sanctions faced by MCG in the event of refusal to respond to the requests for information from the Authority. They also indicated to MCG that they could "only conclude that [MCG] [persists] in [its] refusal to respond, fully aware of the consequences to which this refusal [exposes it]"19.</w:t>
        <w:br/>
        <w:t>18. This email, read by Ms. X...'s email address on March 6, 202120, remained unanswered.</w:t>
        <w:br/>
        <w:t>19. On October 19, 2021, the date of the hearing, MCG had still not provided any response, not even partial, to the questionnaire that had been sent to it by the investigation services on December 14, 2020.</w:t>
      </w:r>
    </w:p>
    <w:p>
      <w:r>
        <w:rPr>
          <w:b/>
        </w:rPr>
        <w:t>[Pages 7–9]</w:t>
      </w:r>
    </w:p>
    <w:p>
      <w:r>
        <w:t xml:space="preserve">II. Discussion  </w:t>
        <w:br/>
        <w:t xml:space="preserve">20. The second paragraph of section V of Article L. 464-2 of the Commercial Code states:  </w:t>
        <w:br/>
        <w:t xml:space="preserve">"When a company or an association of companies has obstructed the investigation or instruction, notably by providing incomplete or inaccurate information, or by communicating incomplete or distorted documents, the Authority may, at the request of the general rapporteur, and after hearing the company concerned and the Government Commissioner, decide to impose a financial penalty […]".  </w:t>
        <w:br/>
        <w:t xml:space="preserve">A. ON THE QUALIFICATION OF OBSTRUCTION  </w:t>
        <w:br/>
        <w:t xml:space="preserve">1. RECALL OF PRINCIPLES  </w:t>
        <w:br/>
        <w:t xml:space="preserve">21. Under national law, the first paragraph of section I of Article L. 450-1 of the Commercial Code provides:  </w:t>
        <w:br/>
        <w:t xml:space="preserve">"[a]gents of the investigation services of the Competition Authority authorized for this purpose by the general rapporteur may carry out any investigation necessary for the application of the provisions of Titles II and III of this book".  </w:t>
        <w:br/>
        <w:t xml:space="preserve">22. The fourth paragraph of Article L. 450-3 of the Commercial Code provides details on the investigative measures that may be undertaken in this regard:  </w:t>
        <w:br/>
        <w:t xml:space="preserve">"[a]gents may require the communication of books, invoices, and other professional documents and obtain or take copies of these documents by any means and on any medium. They may also collect, on-site or upon summons, any information, document, or justification necessary for the control".  </w:t>
        <w:br/>
        <w:t xml:space="preserve">23. The company subject to an investigation measure is thus subject to an obligation of active and loyal collaboration, which implies that it must make available to the investigation services all information and supporting documents relevant to the requests. Thus, representatives of a company, through their duly mandated counsel if applicable, are required to promptly provide the requested information and documents, complete, accurate, and undistorted21.  </w:t>
        <w:br/>
        <w:t xml:space="preserve">24. Under Union law, the provisions of paragraph 4 of Article 18 of Regulation No. 1/2003 state, similarly to the aforementioned legislative provisions, that companies "[a]re required to provide the information requested" by the European Commission. The case law of the Union regularly reminds that the company subject to an investigation measure is under an obligation of active collaboration, which implies that it must make available to the European Commission all information elements related to the subject of the investigation22.  </w:t>
        <w:br/>
        <w:t xml:space="preserve">21 Decision No. 17-D-27 of December 21, 2017, regarding obstruction practices implemented by Brenntag, paragraph 181.  </w:t>
        <w:br/>
        <w:t xml:space="preserve">22 Judgment of the Court of Justice of October 18, 1989, Orkem/Commission, 374/87, paragraphs 22 and 27.  </w:t>
        <w:br/>
        <w:t xml:space="preserve">25. It is in light of the obligation to respond actively, diligently, and in good faith to requests for information that weighs on every company subject to an investigation conducted by the Authority that the breaches attributed to it should be assessed.  </w:t>
        <w:br/>
        <w:t xml:space="preserve">26. The second paragraph of section V of Article L. 464-2 and the decision-making practice of the Authority provide that obstruction may, "in particular," result from the company providing incomplete or inaccurate information, or from the communication of incomplete or distorted documents23. Obstruction, the forms of which are not exhaustively defined by section V of Article L. 464-2 of the Commercial Code, broadly encompasses any behavior of the company that tends, deliberately or through negligence, to hinder or delay, by any means, the progress of the investigation or instruction24. Thus, the refusal to provide the requested information or documents within the prescribed time, as well as the failure to correct an incorrect or incomplete response, may constitute obstruction, within the meaning of the second paragraph of section V of Article L. 464-2 mentioned above, as long as they obstruct the investigative powers conferred on the agents of the Authority.  </w:t>
        <w:br/>
        <w:t xml:space="preserve">27. In its decision No. 2021-892 QPC of March 26, 2021, concerning Akka Technologies and others, the Constitutional Council confirmed the interpretation given by the Authority to the notion of obstruction within the meaning of the second paragraph of section V of Article L. 464-2:  </w:t>
        <w:br/>
        <w:t xml:space="preserve">"[...] obstruction to investigative or instructional measures is understood as any hindrance to the progress of these measures, attributable to the company, whether intentional or resulting from negligence" (paragraph 15).  </w:t>
        <w:br/>
        <w:t xml:space="preserve">28. The same applies under Union law, which, in accordance with section I of Article 23 of Regulation No. 1/2003, punishes obstruction offenses committed deliberately or through negligence. The analysis of European case law allows us to conclude that it is not only "the intention to mislead investigators" that is punished under obstruction in the cited cases. The negligence of the company, or its passivity, which is likely to compromise the effectiveness of the investigators' actions, can constitute, on its own, an offense. Thus, the Union Court ruled:  </w:t>
        <w:br/>
        <w:t xml:space="preserve">"Due to the obligation of active collaboration imposed on the individuals concerned during the preliminary investigation procedure, a passive reaction may justify, on its own, the adoption of a formal decision under Article 11, paragraph 5, of Regulation No. 17 [repealed by Regulation No. 1/2003]"25.  </w:t>
        <w:br/>
        <w:t xml:space="preserve">2. APPLICATION IN THE CASE AT HAND  </w:t>
        <w:br/>
        <w:t xml:space="preserve">29. In this case, as can be seen from the findings presented above, MCG did not respond to the request for information from the investigation services that was sent to it on December 14, 2020, despite the sending of several follow-up emails from the investigation services.  </w:t>
        <w:br/>
        <w:t xml:space="preserve">23 Decision No. 17-D-27 of December 21, 2017, regarding obstruction practices implemented by Brenntag, paragraph 187.  </w:t>
        <w:br/>
        <w:t xml:space="preserve">24 Decision No. 17-D-27 of December 21, 2017, regarding obstruction practices implemented by Brenntag, paragraph 187, Decision No. 19-D-09 of May 22, 2019, regarding obstruction practices implemented by the Akka group, paragraph 34.  </w:t>
        <w:br/>
        <w:t xml:space="preserve">25 Judgment of the Court of November 9, 1994, Scottish Football Association/Commission, T-46/92, paragraph 31.  </w:t>
        <w:br/>
        <w:t xml:space="preserve">30. Following the sending of the questionnaire on December 14, 2020, whose proper receipt by the company is attested26, MCG did not spontaneously contact the investigation services to request any additional time to respond. It was only on January 26, 2021, after the expiration of the response deadline initially set by the investigation services, and upon receipt of a subsequent request from the procedure service seeking explanations for its lack of response, that MCG provided a justification for its silence. It then cited difficulties related to the contamination of several of its employees with Covid-19 and requested an additional two-week period to respond to the questionnaire.  </w:t>
        <w:br/>
        <w:t xml:space="preserve">31. Despite MCG's lack of diligence, the investigation services immediately granted the requested additional two-week period to allow MCG to respond to the request for information.  </w:t>
        <w:br/>
        <w:t xml:space="preserve">32. They nevertheless took care to remind MCG that it was required to respond to their requests, citing the articles of the Commercial Code establishing the sanctions incurred by any company that disregards this obligation, and that it should have requested an additional period before the expiration of the initially set deadline of January 25, 2021.  </w:t>
        <w:br/>
        <w:t xml:space="preserve">33. In the absence of a response at the end of the new deadline, the investigation services again requested MCG, on February 9, 2021, to explain itself.  </w:t>
        <w:br/>
        <w:t xml:space="preserve">34. In response to this new follow-up, the president of MCG provided, on February 15, 2021, nearly a week later, a very different explanation from that provided on January 26, 2021, to the procedure service of the Authority. She thus justified, in a concise manner, her lack of response by stating that the investigation services would, according to her, already have all the requested information in the documents and computer files seized during the search and seizure operation carried out in November 2019. This letter of February 15, 2021, was also sent to MCG's lawyer.  </w:t>
        <w:br/>
        <w:t xml:space="preserve">35. However, the obligation of active and loyal collaboration to which MCG is bound requires it to respond diligently, completely, and accurately to any request for information from the investigation services by providing all requested information in its possession, even if this information could be obtained in another way by the investigation services. In particular, even if it were proven that some of the information requested by the investigation services could be found in the computer files seized by the investigation services in November 2019, this could in no way justify MCG's refusal to respond to the Authority's questionnaire.  </w:t>
        <w:br/>
        <w:t xml:space="preserve">36. In the alternative, MCG's assertion that all the information requested by the investigation services was available in the computer files seized by the Authority in November 2019 is clearly erroneous, as part of the questions from the investigation services concerned a period subsequent to the search and seizure operation carried out by the Authority in November 2019. This information could therefore not, in principle, be found in the seized files and required MCG's cooperation to be provided to the Authority.  </w:t>
        <w:br/>
        <w:t>37. In its written observations, MCG argues that the investigation services did not take into account the health context of Mayotte, particularly the strict lockdown applicable between February 5, 2021, and March 15, 2021, which would have prevented it from responding to the questionnaire of December 14, 2020.</w:t>
      </w:r>
    </w:p>
    <w:p>
      <w:r>
        <w:rPr>
          <w:b/>
        </w:rPr>
        <w:t>[Pages 10–12]</w:t>
      </w:r>
    </w:p>
    <w:p>
      <w:r>
        <w:t xml:space="preserve">38. However, MCG, requested three times by the investigation services, only mentioned the health context to justify its lack of response within the allotted time during its first response, when it requested an additional two-week extension that was immediately granted by the Authority.  </w:t>
        <w:br/>
        <w:t xml:space="preserve">39. In contrast, in its last letter dated February 15, 2021, addressed to the Authority, MCG invoked other reasons, namely the existence of a search and seizure operation conducted at its premises, to oppose the communication of the requested information, without mentioning the health context in Mayotte. It should be added that MCG had not provided any response to the Authority's first questionnaire by the date of the meeting held on October 19, 2021, even though the confinement period in Mayotte had ended on March 15, 2021, nearly seven months prior.  </w:t>
        <w:br/>
        <w:t xml:space="preserve">40. Ultimately, despite three reminders from the Authority, a double reminder of the sanctions incurred, two extensions of the response deadlines giving the company a total of ten weeks to respond to the questionnaire, the sending of a report of obstruction, and after having provided two very different explanations to justify its lack of response, MCG did not provide any response, ten months after the sending of the investigation services' questionnaire.  </w:t>
        <w:br/>
        <w:t xml:space="preserve">41. MCG thus deliberately refused to respond to the investigation services, fully aware of the risks of sanctions it incurred as a result.  </w:t>
        <w:br/>
        <w:t xml:space="preserve">42. Moreover, it opposed this refusal from the very first investigative measure requiring its cooperation.  </w:t>
        <w:br/>
        <w:t xml:space="preserve">43. It follows from the above that, through its behavior, MCG obstructed the proper conduct of the investigation carried out by the investigation services of the Authority.  </w:t>
        <w:br/>
        <w:t xml:space="preserve">44. Such behavior constitutes an obstruction offense referred to in the second paragraph of V of Article L. 464-2 of the Commercial Code.  </w:t>
        <w:br/>
        <w:t xml:space="preserve">B. ON THE ATTRIBUTION OF PRACTICES  </w:t>
        <w:br/>
        <w:t xml:space="preserve">1. RECALL OF PRINCIPLES  </w:t>
        <w:br/>
        <w:t xml:space="preserve">45.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ties that bind these two legal entities27.  </w:t>
        <w:br/>
        <w:t xml:space="preserve">46. In the specific case where a parent company holds, directly or indirectly through an intermediary company, all or nearly all of the capital of its subsidiary that engages in unlawful behavior, there is a presumption that this parent company exerts a determining influence on the behavior of its subsidiary, a presumption compatible with the principles of personal responsibility and individualization of penalties. In this case, it is sufficient for the competition authority to provide evidence of this capital holding27 to attribute the behavior of the subsidiary that engaged in the practices to the parent company. The parent company can overturn this presumption by providing evidence that demonstrates its subsidiary autonomously determines its course of action in the market. If the presumption is not overturned, the competition authority will be able to hold the parent company jointly liable for the payment of the sanction imposed on its subsidiary28.  </w:t>
        <w:br/>
        <w:t xml:space="preserve">47. Neither European case law nor French case law has established a threshold of capital holding below which a parent company cannot be presumed to exert a determining influence over its subsidiary.  </w:t>
        <w:br/>
        <w:t xml:space="preserve">48. The Authority considers that a parent company can be regarded as holding nearly all of the capital of its subsidiary when it holds 90% or more of that capital. In such a case, given such a level of participation, it is presumed that the parent company exerts a determining influence over its subsidiary that engaged in the practices, which does not autonomously determine its behavior in the market, within the meaning of the Akzo Nobel case law of the Court of Justice29.  </w:t>
        <w:br/>
        <w:t xml:space="preserve">49. Furthermore, as indicated by the European Commission in a decision of May 24, 2011, which has become definitive30, the rules governing the attribution of offenses to substantive and procedural rules are identical. Offenses against procedural rules relating to the investigative powers of the Commission that prevent or make it more difficult to detect violations of substantive rules cannot be governed by different principles regarding their attribution.  </w:t>
        <w:br/>
        <w:t xml:space="preserve">50. Finally, in its decision concerning Akka technologies and others, the Constitutional Council considered that attributing an obstruction committed by one of its subsidiaries to a parent company was in accordance with the Constitution, and dismissed the grievance of a violation of the principle of personal responsibility and the presumption of innocence31.  </w:t>
        <w:br/>
        <w:t xml:space="preserve">51. Therefore, the rules of attribution of offenses established by European case law and adapted in national law, particularly the presumption of attribution to the parent company of the actions of its subsidiary, are applicable to the obstruction offenses referred to in V of Article L. 464-2 of the Commercial Code32.  </w:t>
        <w:br/>
        <w:t xml:space="preserve">28 Judgment of the Court of Justice of September 10, 2009, Akzo Nobel e.a./Commission, C-97/08, paragraphs 60 and 61, judgment of the Court of Justice of January 20, 2011, General Quimica/Commission, C-90/09, paragraphs 39 and 40; see also the judgment of the Paris Court of Appeal of March 29, 2012, Lacroix Signalisation e.a., 2011/01228, pages 19 and 20.  </w:t>
        <w:br/>
        <w:t xml:space="preserve">29 Judgment of the Court of Justice of September 10, 2009, Akzo Nobel e.a, C-97/08, paragraph 58.  </w:t>
        <w:br/>
        <w:t xml:space="preserve">30 Decision of the European Commission of May 24, 2011, aff. 39.796, Suez Environnement, paragraphs 88 and following.  </w:t>
        <w:br/>
        <w:t xml:space="preserve">31 Decision of the Constitutional Council No. 2021-892 QPC of March 26, 2021, Akka technologies and others, paragraphs 9 and 18.  </w:t>
        <w:br/>
        <w:t xml:space="preserve">32 Decisions of the Authority No. 19-D-09 of May 22, 2019, regarding obstruction practices implemented by the Akka group, paragraphs 78 and following, and No. 17-D-27 of December 21, 2017, regarding obstruction practices implemented by Brenntag, paragraphs 217 and following. See also the judgment of the Paris Court of Appeal of May 26, 2020, Akka Technologies e.a., No. 19/11880, paragraph 93.  </w:t>
        <w:br/>
        <w:t xml:space="preserve">2. APPLICATION IN THE CASE AT HAND  </w:t>
        <w:br/>
        <w:t xml:space="preserve">52. In this case, it is necessary to apply the rules governing the attribution of offenses from the subsidiary to its parent and to oppose to SNIE – which holds [90 – 100]% of the capital of the company MCG – the presumption that it exerts a determining influence on the behavior of MCG.  </w:t>
        <w:br/>
        <w:t xml:space="preserve">53. In any case, the elements of the file relating to the economic and organizational ties between SNIE and MCG demonstrate the absence of autonomy of the latter.  </w:t>
        <w:br/>
        <w:t xml:space="preserve">54. In this regard, firstly, the fact that MCG and SNIE are controlled and directed by the same individual demonstrates the existence of close ties between the two companies.  </w:t>
        <w:br/>
        <w:t xml:space="preserve">55. The company MCG is an offshoot of SNIE, which created it to manage and operate the Longoni port as part of the public service delegation, when it itself won the tender launched by the Departmental Council of Mayotte33.  </w:t>
        <w:br/>
        <w:t xml:space="preserve">56. Both companies belong to a family group, "the Nel group," as its leaders themselves present it34, even if it does not have legal existence35, and as it is perceived by its business partners36 as well as by financial institutions37. Both companies have the same manager, Ms. X..., who has consistently been both the president of MCG and the manager of SNIE since August 2013. Ms. X... also holds the majority of the shares of the two shareholders of MCG, namely [confidential] SNIE [confidential] and [confidential] MGI.  </w:t>
        <w:br/>
        <w:t xml:space="preserve">57. Several elements in the file, such as the management and sharing of labor between SNIE and MCG, attest, secondly, to the close ties that effectively unite MCG and SNIE on economic and organizational levels.  </w:t>
        <w:br/>
        <w:t xml:space="preserve">58. [confidential]  </w:t>
        <w:br/>
        <w:t xml:space="preserve">59. [confidential]  </w:t>
        <w:br/>
        <w:t xml:space="preserve">60. [confidential]  </w:t>
        <w:br/>
        <w:t xml:space="preserve">61. The existence of a single economic entity pursuing common interests38 is, thirdly, confirmed by several other elements, such as the technical assistance agreement concluded between SNIE and MCG and the cash advances and guarantees they have provided.  </w:t>
        <w:br/>
        <w:t xml:space="preserve">33 References 147 and 148.  </w:t>
        <w:br/>
        <w:t xml:space="preserve">34 References 165 to 188 and 197 to 199.  </w:t>
        <w:br/>
        <w:t xml:space="preserve">35 Reference 195.  </w:t>
        <w:br/>
        <w:t xml:space="preserve">36 References 190 to 193.  </w:t>
        <w:br/>
        <w:t xml:space="preserve">37 Reference 201.  </w:t>
        <w:br/>
        <w:t>38 Judgment of the Court of First Instance (fourth chamber) of March 20, 2002, HFB Holding für Fernwärmetechnik Beteiligungsgesellschaft mbH &amp; Co. KG and others v. Commission of the European Communities, paragraph 62.</w:t>
      </w:r>
    </w:p>
    <w:p>
      <w:r>
        <w:rPr>
          <w:b/>
        </w:rPr>
        <w:t>[Pages 13–15]</w:t>
      </w:r>
    </w:p>
    <w:p>
      <w:r>
        <w:t>62. [confidential]</w:t>
        <w:br/>
        <w:t>63. [confidential]</w:t>
        <w:br/>
        <w:t>64. [confidential]</w:t>
        <w:br/>
        <w:t>65. [confidential]</w:t>
        <w:br/>
        <w:t>66. It is inferred from all of the above that SNIE has a management power over MCG, to the point of depriving it of real autonomy in determining its course of action in the market. Consequently, the responsibility for the infringement of competition rules committed by the latter can be attributed to the former.</w:t>
      </w:r>
    </w:p>
    <w:p>
      <w:r>
        <w:t>C. ON SANCTIONS</w:t>
        <w:br/>
        <w:t>1. ON THE FINANCIAL SANCTION</w:t>
        <w:br/>
        <w:t>67. The second and third paragraphs of V of Article L. 464-2 of the Commercial Code provide:</w:t>
        <w:br/>
        <w:t>"When a company or an association of companies has obstructed the investigation or instruction, […] the Authority may […] decide to impose a financial sanction on it. The maximum amount of this sanction may not exceed 1% of the highest amount of global turnover excluding taxes achieved during one of the financial years closed since the financial year preceding that during which the practices were implemented. If the accounts of the company concerned have been consolidated or combined under the applicable texts to its corporate form, the turnover taken into account is that appearing in the consolidated or combined accounts of the consolidating or combining company."</w:t>
      </w:r>
    </w:p>
    <w:p>
      <w:r>
        <w:t>68. The Authority has not adopted guidelines setting out the calculation method that would apply to it for determining fines in cases of obstruction but must, in any case, take into account the principles of proportionality and individualization of the sanction. For this purpose, it must consider the seriousness of the behavior attributed to the companies involved in light of the specific circumstances of the case, the effects of this behavior on the conduct of the investigation, and more generally, its consequences on the economic public order, which the Authority is tasked with preserving.</w:t>
      </w:r>
    </w:p>
    <w:p>
      <w:r>
        <w:t>69. In this regard, it should first be noted that the offense of obstruction, provided for in Article L. 464-2 of the Commercial Code, is, in itself, a particularly serious offense, as it inherently jeopardizes, or even can thwart, the purpose of the Authority's contentious investigations, which is to identify infringements of national and European competition law, to establish proof of them, and to sanction them, with the ultimate goal of restoring the proper competitive functioning of the market. Such an offense therefore harms both the economic public order and the companies or actors victimized by anti-competitive practices.</w:t>
      </w:r>
    </w:p>
    <w:p>
      <w:r>
        <w:t>70. For determining the amount of the fine, the Authority is entitled to take into account the necessity of ensuring that it has a sufficiently deterrent effect. In particular, in the case of obstruction offenses, companies should not be able to estimate that it would be advantageous for them to obstruct such an investigation, thereby shielding themselves, at little cost, from any possibility of sanction.</w:t>
      </w:r>
    </w:p>
    <w:p>
      <w:r>
        <w:t>71. In this case, by knowingly refusing to respond to a repeated request for information from the Authority, and this from the first investigative measure requiring its cooperation, MCG compromised the effectiveness of the action of the investigation services, preventing them from obtaining the necessary answers to continue the investigations conducted against it.</w:t>
      </w:r>
    </w:p>
    <w:p>
      <w:r>
        <w:t>72. MCG did not respond to any of the questions posed by the investigation services. This deliberate and repeated refusal to respond, coming from a company that knows it is targeted by an investigation from the Authority, is of particular seriousness.</w:t>
      </w:r>
    </w:p>
    <w:p>
      <w:r>
        <w:t>73. It appears, in light of these specific circumstances, that the particular seriousness of the obstruction offense attributed to MCG is amplified by the fact that it persisted after the sending of the obstruction report.</w:t>
      </w:r>
    </w:p>
    <w:p>
      <w:r>
        <w:t>74. Thus, given the particularly serious nature of the obstruction offense, the necessity to ensure a sufficiently deterrent effect for the sanction, and the circumstances of the case, it is appropriate to impose, jointly and severally, on the companies MCG, as the offending company, and SNIE, as the parent company, a fixed fine of 100,000 euros.</w:t>
      </w:r>
    </w:p>
    <w:p>
      <w:r>
        <w:t>75. This amount of sanctions being below the applicable legal ceiling mentioned in paragraph 67 above, there is no need to modify it on this account.</w:t>
      </w:r>
    </w:p>
    <w:p>
      <w:r>
        <w:t>2. ON INJUNCTIONS</w:t>
        <w:br/>
        <w:t>76. The first paragraph of V of Article L. 464-2 of the Commercial Code provides:</w:t>
        <w:br/>
        <w:t>"Except in cases where public force may be required, when a company or an association of companies refuses to submit to a visit or does not comply with a summons or does not respond within the prescribed time to a request for information or communication of documents made by one of the agents referred to in I of Article L. 450-1 in the exercise of the powers conferred on them by Titles V and VI of Book IV, the Authority may, at the request of the general rapporteur, issue an injunction against it accompanied by a penalty, within the limits provided in II."</w:t>
      </w:r>
    </w:p>
    <w:p>
      <w:r>
        <w:t>77. The Authority notes that the obstruction offense is likely to undermine the purpose of the investigation, by preventing the investigation services from obtaining information on potentially anti-competitive practices implemented by MCG. MCG's refusal to cooperate is likely to weigh even more heavily on the continuation of the investigation as it occurs from the very first request for information addressed by the investigation services.</w:t>
      </w:r>
    </w:p>
    <w:p>
      <w:r>
        <w:t>78. In order to remedy the shortcomings identified in this decision, it is necessary to order MCG and SNIE to provide the Authority, within one month from the notification of this decision, with all information and supporting documents in their possession that respond to the subject of the requests made by the investigation services in the questionnaire of December 14, 2020.</w:t>
      </w:r>
    </w:p>
    <w:p>
      <w:r>
        <w:t>DECISION</w:t>
        <w:br/>
        <w:t>Article 1: It is established that the company Mayotte Channel Gateway SAS, as the author of the infringement, and the company Nel Import Export, in its capacity as the parent company of Mayotte Channel Gateway, have violated the provisions of V of Article L. 464-2 of the Commercial Code, by obstructing investigation No. 18/0104 E.</w:t>
      </w:r>
    </w:p>
    <w:p>
      <w:r>
        <w:t>Article 2: By virtue of the infringement referred to in Article 1, a financial sanction of 100,000 euros is imposed jointly and severally on the company Mayotte Channel Gateway SAS, as the author of the infringement, and on the company Nel Import Export, in its capacity as the parent company.</w:t>
      </w:r>
    </w:p>
    <w:p>
      <w:r>
        <w:t>Article 3: The companies Mayotte Channel Gateway SAS and Nel Import Export are ordered to fully comply with the injunction provided for in paragraph 78 of this decision.</w:t>
      </w:r>
    </w:p>
    <w:p>
      <w:r>
        <w:t>Deliberated on the oral report of Ms. Sophie Debail, rapporteur, and the intervention of Ms. Laure Gauthier, deputy general rapporteur, by Mr. Emmanuel Combe, vice-president, president of the session, Ms. Irène Luc and Ms. Fabienne Siredey-Garnier, vice-presidents.</w:t>
      </w:r>
    </w:p>
    <w:p>
      <w:r>
        <w:t>The session secretary, The session president,</w:t>
        <w:br/>
        <w:t>Claire Villeval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