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https://www.autoritedelaconcurrence.fr/fr/decision-de-controle-des-concentrations/relative-la-prise-controle-conjoint-du-groupe-pronatura-par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14-DCC-177 of November 24, 2014  </w:t>
        <w:br/>
        <w:t xml:space="preserve">regarding the joint control of the Pronatura group by Naxicap  </w:t>
        <w:br/>
        <w:t xml:space="preserve">Partners and Mr. Lionnel Wolberg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November 5, 2014, concerning the joint control of the Pronatura group by Naxicap  </w:t>
        <w:br/>
        <w:t xml:space="preserve">Partners alongside Mr. Lionnel Wolberg, and materialized by a share transfer agreement  </w:t>
        <w:br/>
        <w:t xml:space="preserve">dated October 15, 2014;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of the Pronatura group, active in  </w:t>
        <w:br/>
        <w:t xml:space="preserve">the wholesale trade of fruits and vegetables from organic farming, by the management company Naxicap Partners,  </w:t>
        <w:br/>
        <w:t xml:space="preserve">whose capital is wholly owned by the company Natixis, alongside Mr. Lionnel Wolberg. It constitutes a  </w:t>
        <w:br/>
        <w:t xml:space="preserve">concentration operation within the meaning of Article L. 430-1 of the Commercial Code. Given the turnover  </w:t>
        <w:br/>
        <w:t xml:space="preserve">achieved by the concerned companies, the operation does not fall under the jurisdiction of the  </w:t>
        <w:br/>
        <w:t xml:space="preserve">European Union. However, the control thresholds relating to concentration operations mentioned in point I of  </w:t>
        <w:br/>
        <w:t xml:space="preserve">Article L. 430-2 of the Commercial Code are exceeded. This operation is therefore subject to the provisions of  </w:t>
        <w:br/>
        <w:t xml:space="preserve">Articles L. 430-3 and following of the Commercial Code 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14-167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