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https://www.autoritedelaconcurrence.fr/fr/decision-de-controle-des-concentrations/relative-la-prise-controle-exclusif-de-la-societe-anonyme</w:t>
      </w:r>
    </w:p>
    <w:p>
      <w:r>
        <w:t>Pages translated : 2</w:t>
      </w:r>
    </w:p>
    <w:p/>
    <w:p>
      <w:r>
        <w:rPr>
          <w:b/>
        </w:rPr>
        <w:t>[Pages 1–2]</w:t>
      </w:r>
    </w:p>
    <w:p>
      <w:r>
        <w:t xml:space="preserve">FRENCH REPUBLIC  </w:t>
        <w:br/>
        <w:t xml:space="preserve">Decision No. 20-DCC-53 of April 6, 2020  </w:t>
        <w:br/>
        <w:t>regarding the exclusive control acquisition of the Société Anonyme d’Habitations à Loyer Modéré Les Résidences Yvelines-Essonne by CDC Habitat</w:t>
      </w:r>
    </w:p>
    <w:p>
      <w:r>
        <w:t>The Competition Authority,</w:t>
      </w:r>
    </w:p>
    <w:p>
      <w:r>
        <w:t>Having regard to the complete notification file sent to the mergers department on March 12, 2020, concerning the exclusive control acquisition of the Société Anonyme d’Habitations à Loyer Modéré Les Résidences Yvelines-Essonne by CDC Habitat, formalized by an investment protocol between the department of Yvelines, the department of Essonne, Adestia, and Résidences Société Anonyme d’Habitations à Loyer Modéré dated February 7, 2020;</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Société Anonyme d’Habitations à Loyer Modéré Les Résidences Yvelines-Essonne by CDC Habitat.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real estate services and social or intermediate housing that are consistently defined by the decision-making practice of the competition authorities.  </w:t>
        <w:br/>
        <w:t xml:space="preserve">3. Regardless of the segmentations retained, the cumulative market shares of the parties are below 25% when their activities overlap in the same market. They are below 30% when their activities present a vertical link.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20-031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