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https://www.autoritedelaconcurrence.fr/fr/decision-de-controle-des-concentrations/relative-la-prise-controle-exclusif-de-la-societe-mra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18-DCC-208 of December 5, 2018  </w:t>
        <w:br/>
        <w:t xml:space="preserve">regarding the acquisition of exclusive control of the company MRA Systems by the  </w:t>
        <w:br/>
        <w:t xml:space="preserve">company Singapore Technologies Engineering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16, 2018, concerning the acquisition of exclusive control of the company MRA Systems by the  </w:t>
        <w:br/>
        <w:t xml:space="preserve">company Singapore Technologies Engineering, formalized by a share purchase agreement  </w:t>
        <w:br/>
        <w:t xml:space="preserve">dated September 13,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acquisition of exclusive control of the company MRA Systems by the  </w:t>
        <w:br/>
        <w:t xml:space="preserve">company Singapore Technologies Engineering. It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The operation has also been notified to the Brazilian (October 17, 2018) and American (October 25, 2018) competition authorities.  </w:t>
        <w:br/>
        <w:t xml:space="preserve">3. The markets concerned by the operation are those for the supply of airframe components,  </w:t>
        <w:br/>
        <w:t xml:space="preserve">spare parts, and maintenance, repair, and overhaul services for aircraft1, which  </w:t>
        <w:br/>
        <w:t xml:space="preserve">are consistently defined by the decision-making practice of the competition authorities.  </w:t>
        <w:br/>
        <w:t xml:space="preserve">4. Regardless of the segmentations retained, the combined market shares of the parties are  </w:t>
        <w:br/>
        <w:t xml:space="preserve">below 25% when their activities overlap in the same market and below 30% when  </w:t>
        <w:br/>
        <w:t xml:space="preserve">their activities are located in upstream, downstream, or related markets.  </w:t>
        <w:br/>
        <w:t>1 Markets referred to as "MRO" services, an acronym for Maintenance, Repair and Overhaul.</w:t>
      </w:r>
    </w:p>
    <w:p>
      <w:r>
        <w:t xml:space="preserve">5. Considering the elements of the file and in particular point 384 of the guidelines of  </w:t>
        <w:br/>
        <w:t xml:space="preserve">the Competition Authority relating to the control of concentrations, the operation is not  </w:t>
        <w:br/>
        <w:t xml:space="preserve">likely to harm competition.  </w:t>
        <w:br/>
        <w:t xml:space="preserve">DECIDES  </w:t>
        <w:br/>
        <w:t xml:space="preserve">Sole Article: The operation notified under number 18-236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