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https://www.autoritedelaconcurrence.fr/fr/decision-de-controle-des-concentrations/relative-la-prise-controle-exclusif-des-societes-ese-gmbh</w:t>
      </w:r>
    </w:p>
    <w:p>
      <w:r>
        <w:t>Pages translated : 2</w:t>
      </w:r>
    </w:p>
    <w:p/>
    <w:p>
      <w:r>
        <w:rPr>
          <w:b/>
        </w:rPr>
        <w:t>[Pages 1–2]</w:t>
      </w:r>
    </w:p>
    <w:p>
      <w:r>
        <w:t xml:space="preserve">FRENCH REPUBLIC  </w:t>
        <w:br/>
        <w:t xml:space="preserve">Decision No. 26-DCC-122 of May 28, 2026  </w:t>
        <w:br/>
        <w:t xml:space="preserve">regarding the exclusive control acquisition of the companies ESE GmbH, ESE  </w:t>
        <w:br/>
        <w:t xml:space="preserve">Holding SASU, and ESE World B.V. by the company Pacific Avenue  </w:t>
        <w:br/>
        <w:t xml:space="preserve">Capital Partners  </w:t>
        <w:br/>
        <w:t xml:space="preserve">The Competition Authority,  </w:t>
        <w:br/>
        <w:t xml:space="preserve">Having regard to the complete notification file submitted to the mergers department on May 5, 2026, concerning the exclusive control acquisition of the companies ESE GmbH, ESE Holding SASU, and ESE World B.V. by the company Pacific Avenue Capital Partners, formalized by a sale option dated March 26, 2026;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Pacific Avenue Capital Partners of the companies ESE GmbH, ESE Holding SASU, and ESE World B.V., active in the sector of products and services dedicated to waste containerization. The operation constitutes a concentration, within the meaning of Article L. 430-1 of the Commercial Code. Given the revenues generated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26-110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