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https://www.autoritedelaconcurrence.fr/fr/decision-de-controle-des-concentrations/relative-la-prise-controle-exclusif-du-groupe-acces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20-DCC-50 of April 3, 2020  </w:t>
        <w:br/>
        <w:t xml:space="preserve">regarding the exclusive control acquisition of the Accès Industrie group by  </w:t>
        <w:br/>
        <w:t xml:space="preserve">Equistone Partners Europe SAS  </w:t>
        <w:br/>
        <w:t xml:space="preserve">The Competition Authority,  </w:t>
        <w:br/>
        <w:t xml:space="preserve">Having regard to the complete notification file submitted to the mergers department on March 6, 2020,  </w:t>
        <w:br/>
        <w:t xml:space="preserve">concerning the exclusive control acquisition of the Accès Industrie group by Equistone Partners  </w:t>
        <w:br/>
        <w:t xml:space="preserve">Europe SAS, formalized by a securities transfer agreement dated  </w:t>
        <w:br/>
        <w:t xml:space="preserve">February 24,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Accès Industrie group by  </w:t>
        <w:br/>
        <w:t xml:space="preserve">Equistone Partners Europe SAS. It constitutes a concentration within the meaning of Article  </w:t>
        <w:br/>
        <w:t xml:space="preserve">L. 430-1 of the Commercial Code. Given the turnover achieved by the concerned companies, the operation  </w:t>
        <w:br/>
        <w:t xml:space="preserve">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The markets concerned by the operation are those of the rental of equipment and construction materials,  </w:t>
        <w:br/>
        <w:t xml:space="preserve">which are consistently defined by the decision-making practice of the competition authorities.  </w:t>
        <w:br/>
        <w:t xml:space="preserve">3. Regardless of the segmentations retained, the cumulative market shares of the parties are  </w:t>
        <w:br/>
        <w:t xml:space="preserve">below 25% when their activities overlap in the same market.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20-043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