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https://www.autoritedelaconcurrence.fr/fr/decision-de-controle-des-concentrations/relative-la-prise-de-ciontrole-exclusif-de-la-socite</w:t>
      </w:r>
    </w:p>
    <w:p>
      <w:r>
        <w:t>Pages translated : 4</w:t>
      </w:r>
    </w:p>
    <w:p/>
    <w:p>
      <w:r>
        <w:rPr>
          <w:b/>
        </w:rPr>
        <w:t>[Pages 1–3]</w:t>
      </w:r>
    </w:p>
    <w:p>
      <w:r>
        <w:t xml:space="preserve">FRENCH REPUBLIC  </w:t>
        <w:br/>
        <w:t xml:space="preserve">Decision No. 11-DCC-124 of August 18, 2011  </w:t>
        <w:br/>
        <w:t xml:space="preserve">regarding the exclusive control of the company Financière Dagard  </w:t>
        <w:br/>
        <w:t>by the company Windhurst Industries</w:t>
      </w:r>
    </w:p>
    <w:p>
      <w:r>
        <w:t xml:space="preserve">The Competition Authority,  </w:t>
        <w:br/>
        <w:t xml:space="preserve">Having regard to the notification file submitted in full to the merger service on July 20, 2011,  </w:t>
        <w:br/>
        <w:t xml:space="preserve">regarding the exclusive control by the company Windhurst Industries of the company  </w:t>
        <w:br/>
        <w:t xml:space="preserve">Financière Dagard, formalized by a transfer agreement signed on July 8, 2011;  </w:t>
        <w:br/>
        <w:t xml:space="preserve">Having regard to Book IV of the Commercial Code relating to price freedom and competition, and  </w:t>
        <w:br/>
        <w:t xml:space="preserve">notably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The company Windhurst Industries is jointly controlled1 by the company Windhurst and by  </w:t>
        <w:br/>
        <w:t xml:space="preserve">the Strategic Investment Fund (hereinafter, "FSI"). FSI is controlled by the Caisse des  </w:t>
        <w:br/>
        <w:t xml:space="preserve">dépôts et consignations (hereinafter, "CDC"), a public institution with special legal status. The  </w:t>
        <w:br/>
        <w:t xml:space="preserve">company Windhurst is ultimately controlled by Mr. François-Denis Poitrinal, who also  </w:t>
        <w:br/>
        <w:t xml:space="preserve">controls the B2S group, present in the telephone call center sector.  </w:t>
        <w:br/>
        <w:t xml:space="preserve">2. The company Windhurst Industries controls the company Financière Clestra, the holding of the  </w:t>
        <w:br/>
        <w:t xml:space="preserve">Clestra Hauserman group, which is present in the sector of manufacturing and installing office  </w:t>
        <w:br/>
        <w:t xml:space="preserve">furniture, modular partitions, and sandwich panels. Windhurst Industries also indirectly controls  </w:t>
        <w:br/>
        <w:t xml:space="preserve">the company Tifany Industries, which is present in the sector of manufacturing single-use tableware  </w:t>
        <w:br/>
        <w:t xml:space="preserve">and cardboard food packaging, as well as the group  </w:t>
        <w:br/>
        <w:t xml:space="preserve">1 Windhurst holds 74.83% of the capital of the company Windhurst and FSI 16.41% of the capital of Windhurst Industries. However, FSI  </w:t>
        <w:br/>
        <w:t xml:space="preserve">holds rights that exceed what is normally granted to minority shareholders in order to protect their financial interests,  </w:t>
        <w:br/>
        <w:t xml:space="preserve">notably a veto right on the approval of the annual budget as well as on the modification of the business plan of Windhurst Industries.  </w:t>
        <w:br/>
        <w:t>See the decision of the Competition Authority 11-DCC-10 of January 25, 2011, regarding the exclusive control of the Parisot group by Windhurst Industries and the joint control of Windhurst Industries by FSI.</w:t>
      </w:r>
    </w:p>
    <w:p>
      <w:r>
        <w:t xml:space="preserve">Parisot, active in the sector of manufacturing furniture and kitchen furnishings, as well as wood panels.  </w:t>
        <w:br/>
        <w:t xml:space="preserve">3. The company Financière Dagard SAS is the holding company of the Dagard group, which is present in the sector of manufacturing and installing sandwich panels. The company Financière Dagard is currently controlled by the venture capital fund Montparnasse Investissement IV, itself controlled by the company UI Gestion2.  </w:t>
        <w:br/>
        <w:t xml:space="preserve">4. The operation, formalized by the transfer agreement signed on July 8, 2011, by Windhurst Industries and the shareholders of the company Financière Dagard, which provides for the transfer of 100% of the capital of the latter to Windhurst Industries, consists of the exclusive control of the Dagard group by Windhurst Industries. Consequently, this operation constitutes a concentration within the meaning of Article L. 430-1 of the Commercial Code.  </w:t>
        <w:br/>
        <w:t>5. The companies concerned together achieve a total worldwide turnover of more than 150 million euros (CDC group: […] billion euros for the fiscal year ending December 31, 2010; Windhurst group: 307 million euros for the same fiscal year; and Dagard group: 79.6 million euros for the same fiscal year). The companies concerned each achieve, in France, a turnover exceeding 50 million euros (CDC group: […] billion euros for the fiscal year ending December 31, 2010; Windhurst group: 210.1 million euros for the same fiscal year; and Dagard group: 67.4 million euros for the same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sandwich panels sector.  </w:t>
        <w:br/>
        <w:t xml:space="preserve">A. PRODUCT MARKETS  </w:t>
        <w:br/>
        <w:t xml:space="preserve">7. The decisional practice3 has distinguished the market for sandwich panels from that of other panels or profiles used in construction.  </w:t>
        <w:br/>
        <w:t xml:space="preserve">8. Sandwich panels are products consisting of two facings, generally made of steel, with an insulating core, generally made of polyurethane, in between. Sandwich panels are used for the cladding and roofing of buildings for industrial, storage, or commercial use, and can have different levels of mechanical resistance, reaction and fire resistance, thermal and acoustic insulation, and impermeability to water, air, and water vapor.  </w:t>
        <w:br/>
        <w:t xml:space="preserve">2 The company UI Gestion is itself controlled by the following three individuals: Messrs. Michel Deprez, Olivier Jarrousse, and Jean-Jacques Vaury.  </w:t>
        <w:br/>
        <w:t>3 See in particular the decisions of the European Commission No. IV/M.1329, Usinor / Cockerill of February 4, 1999; No. IV/M.1595, British Steel / Hoogovens of July 15, 1999; and No. M.2382, Usinor / Arbed / Arcelaria of July 19, 2001.</w:t>
      </w:r>
    </w:p>
    <w:p>
      <w:r>
        <w:t xml:space="preserve">9. The decisional practice4 has considered a distinction between classic sandwich panels and refrigerated sandwich panels. Indeed, classic sandwich panels are mainly used for the roofing or exterior cladding of buildings for industrial, storage, or commercial use, whereas refrigerated sandwich panels are primarily intended for the agri-food industry and the pharmaceutical industry. They have specific characteristics (high impermeability and high resistance to fire as well as to chemicals) related to their use for the construction of cold rooms or laboratories, and require the use of specific technologies for negative cold.  </w:t>
        <w:br/>
        <w:t xml:space="preserve">10. The parties have proposed to refine this segmentation by distinguishing clean sandwich panels from classic sandwich panels and refrigerated sandwich panels. Clean sandwich panels are used for the construction of "clean rooms"5 used in the pharmaceutical, aerospace, agri-food, chemical, or hospital sectors, and are specifically manufactured to avoid any type of contamination. They differ from other types of sandwich panels by their specific characteristics6 and their price level, which is much higher than that of classic and refrigerated sandwich panels.  </w:t>
        <w:br/>
        <w:t xml:space="preserve">11. The Dagard group, on one hand, and the Windhurst group, through the Clestra group, on the other hand, are simultaneously present in the clean sandwich panels sector.  </w:t>
        <w:br/>
        <w:t xml:space="preserve">12. In any case, the exact definition of each of the markets examined in this decision can be left open as the conclusions of the competitive analysis will remain unchanged regardless of the segmentations retained.  </w:t>
        <w:br/>
        <w:t xml:space="preserve">B. GEOGRAPHICAL MARKETS  </w:t>
        <w:br/>
        <w:t xml:space="preserve">13. The decisional practice7 has considered that the sandwich panel markets are of European dimension due to the existence of significant intra-community exchanges, that the supply of sandwich panels sold in Europe is highly standardized, and that there is no substantial price difference from one European country to another for these products.  </w:t>
        <w:br/>
        <w:t xml:space="preserve">14. The parties considered that this delimitation was all the more justified as the transport costs of sandwich panels are moderate and that a large part of the sandwich panels produced in Europe are exported to countries other than the country of production.  </w:t>
        <w:br/>
        <w:t xml:space="preserve">15. There is no reason to challenge this delimitation in this decision.  </w:t>
        <w:br/>
        <w:t xml:space="preserve">4 See in particular the decisions of the European Commission No. IV/M.1329 and No. M.1595 mentioned above.  </w:t>
        <w:br/>
        <w:t xml:space="preserve">5 The ISO 14644 standard relating to "clean rooms and controlled environments" defines a "clean room" as "a room in which the concentration of airborne particles is controlled and which is constructed and used in such a way as to minimize the introduction, generation, and retention of particles inside the room and, in which other relevant parameters such as temperature, humidity, and pressure are controlled as appropriate."  </w:t>
        <w:br/>
        <w:t xml:space="preserve">6 Clean sandwich panels must primarily meet requirements regarding the absence of contamination, whereas classic sandwich panels are primarily used for their mechanical performance as well as thermal insulation, and refrigerated panels, which must comply with multiple specific standards, must first be effective in thermal insulation. Unlike classic and refrigerated sandwich panels for which the insulating core is generally made of polyurethane, the insulating core of clean panels is generally made of rock wool or aluminum honeycomb.  </w:t>
        <w:br/>
        <w:t>7 See in particular the decisions of the European Commission No. M.1329 and No. M.2382 mentioned above.</w:t>
      </w:r>
    </w:p>
    <w:p>
      <w:r>
        <w:rPr>
          <w:b/>
        </w:rPr>
        <w:t>[Pages 4–4]</w:t>
      </w:r>
    </w:p>
    <w:p>
      <w:r>
        <w:t xml:space="preserve">III. Competitive Analysis  </w:t>
        <w:br/>
        <w:t xml:space="preserve">16. The parties are simultaneously present in the sandwich panels market, and more specifically in the clean sandwich panels market.  </w:t>
        <w:br/>
        <w:t xml:space="preserve">17. In the event of a global sandwich panels market, of European dimension, the new entity will hold a market share of [0-5]% ([0-5]% for the Dagard group and [0-5]% for Windhurst) and will face competition from globally sized groups, such as Arcelor or Thyssen, which represent 12% and 13% of the market, respectively.  </w:t>
        <w:br/>
        <w:t xml:space="preserve">18. In the event of a specific clean panels market, of European dimension, the Dagard and Windhurst groups hold market shares of [5-10]% and [0-5]%, respectively, resulting in a combined market share of [10-20]%. The new entity will face competition in this market from significant competitors such as Isocab and M+W Zander, each holding a market share of 11%, and Daldrop, which holds 9% market share.  </w:t>
        <w:br/>
        <w:t xml:space="preserve">19. The Dagard group also produces refrigerated sandwich panels. However, given its low market share ([0-5]%) in this market and the low market shares of the new entity in the other concerned markets, the operation is not likely to lead to conglomerate effects.  </w:t>
        <w:br/>
        <w:t xml:space="preserve">20. Consequently, in light of the above elements, the proposed operation is not likely to affect competition in the sandwich panels markets.  </w:t>
        <w:br/>
        <w:t xml:space="preserve">DECIDES  </w:t>
        <w:br/>
        <w:t xml:space="preserve">Sole Article: The operation notified under number 11-0126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