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https://www.autoritedelaconcurrence.fr/fr/decision-de-controle-des-concentrations/relative-la-prise-de-controle-conjoint-dactifs-0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19-DCC-232 of December 12, 2019  </w:t>
        <w:br/>
        <w:t xml:space="preserve">regarding the joint control of real estate assets by  </w:t>
        <w:br/>
        <w:t xml:space="preserve">Bouygues Immobilier and the Caisse des dépôts et consignations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18, 2019, concerning the joint control of real estate assets by Bouygues Immobilier  </w:t>
        <w:br/>
        <w:t xml:space="preserve">and the Caisse des dépôts et consignations, formalized by a letter of intent dated November 7,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by Bouygues Immobilier  </w:t>
        <w:br/>
        <w:t xml:space="preserve">and the Caisse des dépôts et consignations of a set of real estate assets located  </w:t>
        <w:br/>
        <w:t xml:space="preserve">on Boulevard des Provinces Françaises and Allée de la Corse in Nanterre (92). It constitutes a  </w:t>
        <w:br/>
        <w:t xml:space="preserve">concentration within the meaning of Article L. 430-1 of the Commercial Code. Given the turnover  </w:t>
        <w:br/>
        <w:t xml:space="preserve">achieved by the concerned companies, the notification thresholds of  </w:t>
        <w:br/>
        <w:t xml:space="preserve">Article 1 paragraph 3 of Regulation (EC) 139/2004 are exceeded, but since each of the  </w:t>
        <w:br/>
        <w:t xml:space="preserve">concerned companies generates more than two-thirds of its turnover in the Union in  </w:t>
        <w:br/>
        <w:t xml:space="preserve">France, the operation does not fall under the jurisdiction of the European Union. On the other hand, the  </w:t>
        <w:br/>
        <w:t xml:space="preserve">control thresholds mentioned in 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The markets concerned by the operation are those of real estate services, defined consistently  </w:t>
        <w:br/>
        <w:t xml:space="preserve">by the decision-making practice of the competition authorities.  </w:t>
        <w:br/>
        <w:t xml:space="preserve">3. Regardless of the segmentations retained, the combined market shares of the parties are  </w:t>
        <w:br/>
        <w:t xml:space="preserve">below 25%.  </w:t>
        <w:br/>
        <w:t xml:space="preserve">4. Considering the elements of the file and in particular point 384 of the guidelines of  </w:t>
        <w:br/>
        <w:t xml:space="preserve">the Competition Authority regarding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19-289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