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https://www.autoritedelaconcurrence.fr/fr/decision-de-controle-des-concentrations/relative-la-prise-de-controle-conjoint-dactifs-1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20-DCC-189 of December 17, 2020  </w:t>
        <w:br/>
        <w:t xml:space="preserve">regarding the joint control of real estate assets,  </w:t>
        <w:br/>
        <w:t xml:space="preserve">corresponding to the urban development project "Ginko" in  </w:t>
        <w:br/>
        <w:t xml:space="preserve">Bordeaux, by the company Bouygues Immobilier and the Caisse des Dépôts  </w:t>
        <w:br/>
        <w:t xml:space="preserve">et Consignations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25, 2020, concerning the joint control of real estate assets by the company  </w:t>
        <w:br/>
        <w:t xml:space="preserve">Bouygues Immobilier and the Caisse des Dépôts et Consignations, formalized by a letter  </w:t>
        <w:br/>
        <w:t xml:space="preserve">of intent signed by the parties on October 19,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instruction by the notifying party;  </w:t>
        <w:br/>
        <w:t xml:space="preserve">Adopts the following decision:  </w:t>
        <w:br/>
        <w:t xml:space="preserve">1. The notified operation consists of the joint control by the company Bouygues  </w:t>
        <w:br/>
        <w:t xml:space="preserve">Immobilier and the Caisse des Dépôts et Consignations, both active in the markets of  </w:t>
        <w:br/>
        <w:t xml:space="preserve">real estate services, particularly in the markets of self-managed parking and  </w:t>
        <w:br/>
        <w:t xml:space="preserve">real estate assets for commercial use, of the real estate assets of the urban development  </w:t>
        <w:br/>
        <w:t xml:space="preserve">project "Ginko" located in Bordeaux. This is a project for the creation and  </w:t>
        <w:br/>
        <w:t xml:space="preserve">development of a new "eco-district" of 28,000 m². The assets consist of 53 lots  </w:t>
        <w:br/>
        <w:t xml:space="preserve">of commercial spaces at the foot of buildings representing a total area of 28,110 m² and  </w:t>
        <w:br/>
        <w:t xml:space="preserve">an underground parking lot comprising approximately 954 spaces. It constitutes a  </w:t>
        <w:br/>
        <w:t xml:space="preserve">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 </w:t>
        <w:br/>
        <w:t xml:space="preserve">mentioned in point I of Article L. 430-2 of the Commercial Code are exceeded. This  </w:t>
        <w:br/>
        <w:t xml:space="preserve">operation is therefore subject to the provisions of Articles L. 430-3 and following of the  </w:t>
        <w:br/>
        <w:t>Commercial Code relating to economic concentration.</w:t>
      </w:r>
    </w:p>
    <w:p>
      <w:r>
        <w:t xml:space="preserve">2. In light of the elements of the file, the operation is not likely to harm competition  </w:t>
        <w:br/>
        <w:t xml:space="preserve">in the relevant markets.  </w:t>
        <w:br/>
        <w:t xml:space="preserve">DECIDES  </w:t>
        <w:br/>
        <w:t xml:space="preserve">Sole Article: The operation notified under number 20-224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