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https://www.autoritedelaconcurrence.fr/fr/decision-de-controle-des-concentrations/relative-la-prise-de-controle-conjoint-dactifs-2</w:t>
      </w:r>
    </w:p>
    <w:p>
      <w:r>
        <w:t>Pages translated : 2</w:t>
      </w:r>
    </w:p>
    <w:p/>
    <w:p>
      <w:r>
        <w:rPr>
          <w:b/>
        </w:rPr>
        <w:t>[Pages 1–2]</w:t>
      </w:r>
    </w:p>
    <w:p>
      <w:r>
        <w:t>FRENCH REPUBLIC</w:t>
        <w:br/>
        <w:t>Decision No. 21-DCC-31 of February 22, 2021</w:t>
        <w:br/>
        <w:t>regarding the joint control acquisition of real estate assets by the</w:t>
        <w:br/>
        <w:t>Caisse des dépôts et consignations, the BPCE group, and SEM Var</w:t>
        <w:br/>
        <w:t>Aménagement Développement</w:t>
        <w:br/>
        <w:t>The Competition Authority,</w:t>
        <w:br/>
        <w:t>Having regard to the complete notification file submitted to the mergers department on February 4, 2021, concerning the joint control acquisition of real estate assets by the Caisse des dépôts et consignations, the BPCE group, and SEM Var Aménagement Développement, formalized by letters of intent signed by each of the parties dated January 20, 2021;</w:t>
        <w:br/>
        <w:t>Having regard to Book IV of the Commercial Code relating to the freedom of prices and competition, and in particular its Articles L. 430-1 to L. 430-7;</w:t>
        <w:br/>
        <w:t>Adopts the following decision:</w:t>
        <w:br/>
        <w:t>1. The notified operation consists of the joint control acquisition of real estate assets for hotel and commercial use located on the Montety block in the Toulon urban area by the Caisse des dépôts et consignations, the BPCE group, and SEM Var Aménagement Développement, via the SCI Montety. It constitutes a concentration operation within the meaning of Article L. 430-1 of the Commercial Code. Given the turnover achieved by the companies concerned, the operation does not fall under the jurisdiction of the European Union. However, the control thresholds mentioned in point 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21-001 is authorized.</w:t>
        <w:br/>
        <w:t>The Vice-President,</w:t>
        <w:br/>
        <w:t>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